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3E094E4">
      <w:pPr>
        <w:pStyle w:val="16"/>
      </w:pPr>
      <w:r>
        <w:t>项目五</w:t>
      </w:r>
      <w:r>
        <w:rPr>
          <w:rFonts w:hint="eastAsia"/>
          <w:lang w:val="en-US" w:eastAsia="zh-CN"/>
        </w:rPr>
        <w:t xml:space="preserve">  </w:t>
      </w:r>
      <w:r>
        <w:t>各类账表的编制</w:t>
      </w:r>
    </w:p>
    <w:p w14:paraId="7BA433F9">
      <w:pPr>
        <w:pStyle w:val="3"/>
        <w:jc w:val="center"/>
      </w:pPr>
      <w:r>
        <w:t>任务一</w:t>
      </w:r>
      <w:r>
        <w:rPr>
          <w:rFonts w:hint="eastAsia"/>
          <w:lang w:val="en-US" w:eastAsia="zh-CN"/>
        </w:rPr>
        <w:t xml:space="preserve">  </w:t>
      </w:r>
      <w:r>
        <w:t>试算平衡表的编制</w:t>
      </w:r>
      <w:r>
        <mc:AlternateContent>
          <mc:Choice Requires="wps">
            <w:drawing>
              <wp:anchor distT="0" distB="0" distL="114300" distR="114300" simplePos="0" relativeHeight="251660288" behindDoc="1" locked="0" layoutInCell="1" allowOverlap="1">
                <wp:simplePos x="0" y="0"/>
                <wp:positionH relativeFrom="page">
                  <wp:posOffset>1096010</wp:posOffset>
                </wp:positionH>
                <wp:positionV relativeFrom="paragraph">
                  <wp:posOffset>237490</wp:posOffset>
                </wp:positionV>
                <wp:extent cx="5435600" cy="1998980"/>
                <wp:effectExtent l="4445" t="4445" r="8255" b="15875"/>
                <wp:wrapTopAndBottom/>
                <wp:docPr id="39" name="文本框 12"/>
                <wp:cNvGraphicFramePr/>
                <a:graphic xmlns:a="http://schemas.openxmlformats.org/drawingml/2006/main">
                  <a:graphicData uri="http://schemas.microsoft.com/office/word/2010/wordprocessingShape">
                    <wps:wsp>
                      <wps:cNvSpPr txBox="1"/>
                      <wps:spPr>
                        <a:xfrm>
                          <a:off x="0" y="0"/>
                          <a:ext cx="5435600" cy="1998980"/>
                        </a:xfrm>
                        <a:prstGeom prst="rect">
                          <a:avLst/>
                        </a:prstGeom>
                        <a:noFill/>
                        <a:ln w="6096" cap="flat" cmpd="sng">
                          <a:solidFill>
                            <a:srgbClr val="000000"/>
                          </a:solidFill>
                          <a:prstDash val="solid"/>
                          <a:miter/>
                          <a:headEnd type="none" w="med" len="med"/>
                          <a:tailEnd type="none" w="med" len="med"/>
                        </a:ln>
                      </wps:spPr>
                      <wps:txbx>
                        <w:txbxContent>
                          <w:p w14:paraId="6D5BF1D4">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教学目的：</w:t>
                            </w:r>
                            <w:r>
                              <w:rPr>
                                <w:rFonts w:hint="eastAsia" w:ascii="黑体" w:hAnsi="黑体" w:eastAsia="黑体" w:cs="黑体"/>
                                <w:b w:val="0"/>
                                <w:bCs/>
                                <w:sz w:val="24"/>
                                <w:szCs w:val="24"/>
                                <w:lang w:val="zh-CN" w:eastAsia="zh-CN" w:bidi="zh-CN"/>
                              </w:rPr>
                              <w:t>掌握</w:t>
                            </w:r>
                            <w:r>
                              <w:rPr>
                                <w:rFonts w:hint="eastAsia" w:ascii="黑体" w:hAnsi="黑体" w:eastAsia="黑体" w:cs="黑体"/>
                                <w:b w:val="0"/>
                                <w:bCs/>
                                <w:sz w:val="24"/>
                                <w:szCs w:val="24"/>
                                <w:lang w:val="en-US" w:eastAsia="zh-CN" w:bidi="zh-CN"/>
                              </w:rPr>
                              <w:t>试算平衡的基本原理及实操</w:t>
                            </w:r>
                            <w:r>
                              <w:rPr>
                                <w:rFonts w:hint="eastAsia" w:ascii="黑体" w:hAnsi="黑体" w:eastAsia="黑体" w:cs="黑体"/>
                                <w:b w:val="0"/>
                                <w:bCs/>
                                <w:sz w:val="24"/>
                                <w:szCs w:val="24"/>
                                <w:lang w:val="zh-CN" w:eastAsia="zh-CN" w:bidi="zh-CN"/>
                              </w:rPr>
                              <w:t>。</w:t>
                            </w:r>
                          </w:p>
                          <w:p w14:paraId="5FE8F5C8">
                            <w:pPr>
                              <w:widowControl w:val="0"/>
                              <w:autoSpaceDE w:val="0"/>
                              <w:autoSpaceDN w:val="0"/>
                              <w:spacing w:before="0" w:after="0" w:line="360" w:lineRule="auto"/>
                              <w:ind w:left="80" w:right="74"/>
                              <w:jc w:val="left"/>
                              <w:rPr>
                                <w:rFonts w:hint="default" w:ascii="黑体" w:hAnsi="黑体" w:eastAsia="黑体" w:cs="黑体"/>
                                <w:b w:val="0"/>
                                <w:bCs/>
                                <w:sz w:val="24"/>
                                <w:szCs w:val="24"/>
                                <w:lang w:val="en-US" w:eastAsia="zh-CN" w:bidi="zh-CN"/>
                              </w:rPr>
                            </w:pPr>
                            <w:r>
                              <w:rPr>
                                <w:rFonts w:hint="eastAsia" w:ascii="黑体" w:hAnsi="黑体" w:eastAsia="黑体" w:cs="黑体"/>
                                <w:b/>
                                <w:sz w:val="24"/>
                                <w:szCs w:val="24"/>
                                <w:lang w:val="zh-CN" w:eastAsia="zh-CN" w:bidi="zh-CN"/>
                              </w:rPr>
                              <w:t>教学重点：</w:t>
                            </w:r>
                            <w:r>
                              <w:rPr>
                                <w:rFonts w:hint="eastAsia" w:ascii="黑体" w:hAnsi="黑体" w:eastAsia="黑体" w:cs="黑体"/>
                                <w:b w:val="0"/>
                                <w:bCs/>
                                <w:sz w:val="24"/>
                                <w:szCs w:val="24"/>
                                <w:lang w:val="en-US" w:eastAsia="zh-CN" w:bidi="zh-CN"/>
                              </w:rPr>
                              <w:t>试算平衡的含义、试算平衡的分类、试算平衡的编制训练。</w:t>
                            </w:r>
                          </w:p>
                          <w:p w14:paraId="3D767747">
                            <w:pPr>
                              <w:autoSpaceDE w:val="0"/>
                              <w:autoSpaceDN w:val="0"/>
                              <w:spacing w:before="0" w:after="0" w:line="360" w:lineRule="auto"/>
                              <w:ind w:left="80" w:right="1449" w:firstLine="0"/>
                              <w:jc w:val="left"/>
                              <w:rPr>
                                <w:rFonts w:hint="eastAsia" w:ascii="黑体" w:hAnsi="黑体" w:eastAsia="黑体" w:cs="黑体"/>
                                <w:b/>
                                <w:kern w:val="0"/>
                                <w:sz w:val="24"/>
                                <w:szCs w:val="24"/>
                                <w:lang w:val="en-US" w:eastAsia="zh-CN" w:bidi="zh-CN"/>
                              </w:rPr>
                            </w:pPr>
                            <w:r>
                              <w:rPr>
                                <w:rFonts w:hint="eastAsia" w:ascii="黑体" w:hAnsi="黑体" w:eastAsia="黑体" w:cs="黑体"/>
                                <w:b/>
                                <w:kern w:val="0"/>
                                <w:sz w:val="24"/>
                                <w:szCs w:val="24"/>
                                <w:lang w:val="zh-CN" w:bidi="zh-CN"/>
                              </w:rPr>
                              <w:t>教学难点：</w:t>
                            </w:r>
                            <w:r>
                              <w:rPr>
                                <w:rFonts w:hint="eastAsia" w:ascii="黑体" w:hAnsi="黑体" w:eastAsia="黑体" w:cs="黑体"/>
                                <w:b w:val="0"/>
                                <w:bCs/>
                                <w:kern w:val="0"/>
                                <w:sz w:val="24"/>
                                <w:szCs w:val="24"/>
                                <w:lang w:val="en-US" w:eastAsia="zh-CN" w:bidi="zh-CN"/>
                              </w:rPr>
                              <w:t>试算平衡案例实操。</w:t>
                            </w:r>
                          </w:p>
                          <w:p w14:paraId="5AE0FA79">
                            <w:pPr>
                              <w:widowControl w:val="0"/>
                              <w:autoSpaceDE w:val="0"/>
                              <w:autoSpaceDN w:val="0"/>
                              <w:spacing w:before="0" w:after="0" w:line="360" w:lineRule="auto"/>
                              <w:ind w:left="80" w:right="0"/>
                              <w:jc w:val="left"/>
                              <w:rPr>
                                <w:rFonts w:hint="eastAsia" w:ascii="黑体" w:hAnsi="黑体" w:eastAsia="黑体" w:cs="黑体"/>
                                <w:b/>
                                <w:sz w:val="15"/>
                                <w:szCs w:val="21"/>
                                <w:lang w:val="zh-CN" w:eastAsia="zh-CN" w:bidi="zh-CN"/>
                              </w:rPr>
                            </w:pPr>
                            <w:r>
                              <w:rPr>
                                <w:rFonts w:hint="eastAsia" w:ascii="黑体" w:hAnsi="黑体" w:eastAsia="黑体" w:cs="黑体"/>
                                <w:b/>
                                <w:sz w:val="24"/>
                                <w:szCs w:val="24"/>
                                <w:lang w:val="zh-CN" w:eastAsia="zh-CN" w:bidi="zh-CN"/>
                              </w:rPr>
                              <w:t>教学方法：</w:t>
                            </w:r>
                            <w:r>
                              <w:rPr>
                                <w:rFonts w:hint="eastAsia" w:ascii="黑体" w:hAnsi="黑体" w:eastAsia="黑体" w:cs="黑体"/>
                                <w:sz w:val="24"/>
                                <w:szCs w:val="24"/>
                                <w:lang w:val="zh-CN" w:eastAsia="zh-CN" w:bidi="zh-CN"/>
                              </w:rPr>
                              <w:t>讲授法、PPT演示、案例法、实训法</w:t>
                            </w:r>
                          </w:p>
                          <w:p w14:paraId="5831BE84">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授课时数：</w:t>
                            </w:r>
                            <w:r>
                              <w:rPr>
                                <w:rFonts w:hint="eastAsia" w:ascii="黑体" w:hAnsi="黑体" w:eastAsia="黑体" w:cs="黑体"/>
                                <w:b w:val="0"/>
                                <w:bCs/>
                                <w:sz w:val="24"/>
                                <w:szCs w:val="24"/>
                                <w:lang w:val="zh-CN" w:eastAsia="zh-CN" w:bidi="zh-CN"/>
                              </w:rPr>
                              <w:t>2课时</w:t>
                            </w:r>
                          </w:p>
                        </w:txbxContent>
                      </wps:txbx>
                      <wps:bodyPr vert="horz" wrap="square" lIns="0" tIns="0" rIns="0" bIns="0" anchor="t" anchorCtr="0" upright="1">
                        <a:spAutoFit/>
                      </wps:bodyPr>
                    </wps:wsp>
                  </a:graphicData>
                </a:graphic>
              </wp:anchor>
            </w:drawing>
          </mc:Choice>
          <mc:Fallback>
            <w:pict>
              <v:shape id="文本框 12" o:spid="_x0000_s1026" o:spt="202" type="#_x0000_t202" style="position:absolute;left:0pt;margin-left:86.3pt;margin-top:18.7pt;height:157.4pt;width:428pt;mso-position-horizontal-relative:page;mso-wrap-distance-bottom:0pt;mso-wrap-distance-top:0pt;z-index:-251656192;mso-width-relative:page;mso-height-relative:page;" filled="f" stroked="t" coordsize="21600,21600" o:gfxdata="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IQBIYjaAAAACwEAAA8AAAAAAAAAAQAgAAAAIgAA&#10;AGRycy9kb3ducmV2LnhtbFBLAQIUABQAAAAIAIdO4kCnZa0jPwIAAIEEAAAOAAAAAAAAAAEAIAAA&#10;ACkBAABkcnMvZTJvRG9jLnhtbFBLBQYAAAAABgAGAFkBAADaBQAAAAA=&#10;">
                <v:fill on="f" focussize="0,0"/>
                <v:stroke weight="0.48pt" color="#000000" joinstyle="miter"/>
                <v:imagedata o:title=""/>
                <o:lock v:ext="edit" aspectratio="f"/>
                <v:textbox inset="0mm,0mm,0mm,0mm" style="mso-fit-shape-to-text:t;">
                  <w:txbxContent>
                    <w:p w14:paraId="6D5BF1D4">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教学目的：</w:t>
                      </w:r>
                      <w:r>
                        <w:rPr>
                          <w:rFonts w:hint="eastAsia" w:ascii="黑体" w:hAnsi="黑体" w:eastAsia="黑体" w:cs="黑体"/>
                          <w:b w:val="0"/>
                          <w:bCs/>
                          <w:sz w:val="24"/>
                          <w:szCs w:val="24"/>
                          <w:lang w:val="zh-CN" w:eastAsia="zh-CN" w:bidi="zh-CN"/>
                        </w:rPr>
                        <w:t>掌握</w:t>
                      </w:r>
                      <w:r>
                        <w:rPr>
                          <w:rFonts w:hint="eastAsia" w:ascii="黑体" w:hAnsi="黑体" w:eastAsia="黑体" w:cs="黑体"/>
                          <w:b w:val="0"/>
                          <w:bCs/>
                          <w:sz w:val="24"/>
                          <w:szCs w:val="24"/>
                          <w:lang w:val="en-US" w:eastAsia="zh-CN" w:bidi="zh-CN"/>
                        </w:rPr>
                        <w:t>试算平衡的基本原理及实操</w:t>
                      </w:r>
                      <w:r>
                        <w:rPr>
                          <w:rFonts w:hint="eastAsia" w:ascii="黑体" w:hAnsi="黑体" w:eastAsia="黑体" w:cs="黑体"/>
                          <w:b w:val="0"/>
                          <w:bCs/>
                          <w:sz w:val="24"/>
                          <w:szCs w:val="24"/>
                          <w:lang w:val="zh-CN" w:eastAsia="zh-CN" w:bidi="zh-CN"/>
                        </w:rPr>
                        <w:t>。</w:t>
                      </w:r>
                    </w:p>
                    <w:p w14:paraId="5FE8F5C8">
                      <w:pPr>
                        <w:widowControl w:val="0"/>
                        <w:autoSpaceDE w:val="0"/>
                        <w:autoSpaceDN w:val="0"/>
                        <w:spacing w:before="0" w:after="0" w:line="360" w:lineRule="auto"/>
                        <w:ind w:left="80" w:right="74"/>
                        <w:jc w:val="left"/>
                        <w:rPr>
                          <w:rFonts w:hint="default" w:ascii="黑体" w:hAnsi="黑体" w:eastAsia="黑体" w:cs="黑体"/>
                          <w:b w:val="0"/>
                          <w:bCs/>
                          <w:sz w:val="24"/>
                          <w:szCs w:val="24"/>
                          <w:lang w:val="en-US" w:eastAsia="zh-CN" w:bidi="zh-CN"/>
                        </w:rPr>
                      </w:pPr>
                      <w:r>
                        <w:rPr>
                          <w:rFonts w:hint="eastAsia" w:ascii="黑体" w:hAnsi="黑体" w:eastAsia="黑体" w:cs="黑体"/>
                          <w:b/>
                          <w:sz w:val="24"/>
                          <w:szCs w:val="24"/>
                          <w:lang w:val="zh-CN" w:eastAsia="zh-CN" w:bidi="zh-CN"/>
                        </w:rPr>
                        <w:t>教学重点：</w:t>
                      </w:r>
                      <w:r>
                        <w:rPr>
                          <w:rFonts w:hint="eastAsia" w:ascii="黑体" w:hAnsi="黑体" w:eastAsia="黑体" w:cs="黑体"/>
                          <w:b w:val="0"/>
                          <w:bCs/>
                          <w:sz w:val="24"/>
                          <w:szCs w:val="24"/>
                          <w:lang w:val="en-US" w:eastAsia="zh-CN" w:bidi="zh-CN"/>
                        </w:rPr>
                        <w:t>试算平衡的含义、试算平衡的分类、试算平衡的编制训练。</w:t>
                      </w:r>
                    </w:p>
                    <w:p w14:paraId="3D767747">
                      <w:pPr>
                        <w:autoSpaceDE w:val="0"/>
                        <w:autoSpaceDN w:val="0"/>
                        <w:spacing w:before="0" w:after="0" w:line="360" w:lineRule="auto"/>
                        <w:ind w:left="80" w:right="1449" w:firstLine="0"/>
                        <w:jc w:val="left"/>
                        <w:rPr>
                          <w:rFonts w:hint="eastAsia" w:ascii="黑体" w:hAnsi="黑体" w:eastAsia="黑体" w:cs="黑体"/>
                          <w:b/>
                          <w:kern w:val="0"/>
                          <w:sz w:val="24"/>
                          <w:szCs w:val="24"/>
                          <w:lang w:val="en-US" w:eastAsia="zh-CN" w:bidi="zh-CN"/>
                        </w:rPr>
                      </w:pPr>
                      <w:r>
                        <w:rPr>
                          <w:rFonts w:hint="eastAsia" w:ascii="黑体" w:hAnsi="黑体" w:eastAsia="黑体" w:cs="黑体"/>
                          <w:b/>
                          <w:kern w:val="0"/>
                          <w:sz w:val="24"/>
                          <w:szCs w:val="24"/>
                          <w:lang w:val="zh-CN" w:bidi="zh-CN"/>
                        </w:rPr>
                        <w:t>教学难点：</w:t>
                      </w:r>
                      <w:r>
                        <w:rPr>
                          <w:rFonts w:hint="eastAsia" w:ascii="黑体" w:hAnsi="黑体" w:eastAsia="黑体" w:cs="黑体"/>
                          <w:b w:val="0"/>
                          <w:bCs/>
                          <w:kern w:val="0"/>
                          <w:sz w:val="24"/>
                          <w:szCs w:val="24"/>
                          <w:lang w:val="en-US" w:eastAsia="zh-CN" w:bidi="zh-CN"/>
                        </w:rPr>
                        <w:t>试算平衡案例实操。</w:t>
                      </w:r>
                    </w:p>
                    <w:p w14:paraId="5AE0FA79">
                      <w:pPr>
                        <w:widowControl w:val="0"/>
                        <w:autoSpaceDE w:val="0"/>
                        <w:autoSpaceDN w:val="0"/>
                        <w:spacing w:before="0" w:after="0" w:line="360" w:lineRule="auto"/>
                        <w:ind w:left="80" w:right="0"/>
                        <w:jc w:val="left"/>
                        <w:rPr>
                          <w:rFonts w:hint="eastAsia" w:ascii="黑体" w:hAnsi="黑体" w:eastAsia="黑体" w:cs="黑体"/>
                          <w:b/>
                          <w:sz w:val="15"/>
                          <w:szCs w:val="21"/>
                          <w:lang w:val="zh-CN" w:eastAsia="zh-CN" w:bidi="zh-CN"/>
                        </w:rPr>
                      </w:pPr>
                      <w:r>
                        <w:rPr>
                          <w:rFonts w:hint="eastAsia" w:ascii="黑体" w:hAnsi="黑体" w:eastAsia="黑体" w:cs="黑体"/>
                          <w:b/>
                          <w:sz w:val="24"/>
                          <w:szCs w:val="24"/>
                          <w:lang w:val="zh-CN" w:eastAsia="zh-CN" w:bidi="zh-CN"/>
                        </w:rPr>
                        <w:t>教学方法：</w:t>
                      </w:r>
                      <w:r>
                        <w:rPr>
                          <w:rFonts w:hint="eastAsia" w:ascii="黑体" w:hAnsi="黑体" w:eastAsia="黑体" w:cs="黑体"/>
                          <w:sz w:val="24"/>
                          <w:szCs w:val="24"/>
                          <w:lang w:val="zh-CN" w:eastAsia="zh-CN" w:bidi="zh-CN"/>
                        </w:rPr>
                        <w:t>讲授法、PPT演示、案例法、实训法</w:t>
                      </w:r>
                    </w:p>
                    <w:p w14:paraId="5831BE84">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授课时数：</w:t>
                      </w:r>
                      <w:r>
                        <w:rPr>
                          <w:rFonts w:hint="eastAsia" w:ascii="黑体" w:hAnsi="黑体" w:eastAsia="黑体" w:cs="黑体"/>
                          <w:b w:val="0"/>
                          <w:bCs/>
                          <w:sz w:val="24"/>
                          <w:szCs w:val="24"/>
                          <w:lang w:val="zh-CN" w:eastAsia="zh-CN" w:bidi="zh-CN"/>
                        </w:rPr>
                        <w:t>2课时</w:t>
                      </w:r>
                    </w:p>
                  </w:txbxContent>
                </v:textbox>
                <w10:wrap type="topAndBottom"/>
              </v:shape>
            </w:pict>
          </mc:Fallback>
        </mc:AlternateContent>
      </w:r>
    </w:p>
    <w:p w14:paraId="2CAD98B6">
      <w:pPr>
        <w:pStyle w:val="4"/>
        <w:numPr>
          <w:ilvl w:val="0"/>
          <w:numId w:val="1"/>
        </w:numPr>
        <w:topLinePunct w:val="0"/>
        <w:ind w:left="0" w:leftChars="0" w:firstLine="0" w:firstLineChars="0"/>
        <w:rPr>
          <w:rFonts w:hint="eastAsia" w:ascii="黑体" w:hAnsi="黑体" w:eastAsia="黑体" w:cs="黑体"/>
          <w:b w:val="0"/>
        </w:rPr>
      </w:pPr>
      <w:r>
        <w:t>试算平衡的含义</w:t>
      </w:r>
    </w:p>
    <w:p w14:paraId="6073910A">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试算平衡就是指根据资产与权益的恒等关系，以及借贷记账法的记账规则，检查所有账户记录是否正确的过程。</w:t>
      </w:r>
    </w:p>
    <w:p w14:paraId="168AB93B">
      <w:pPr>
        <w:pStyle w:val="4"/>
        <w:numPr>
          <w:ilvl w:val="0"/>
          <w:numId w:val="1"/>
        </w:numPr>
        <w:topLinePunct w:val="0"/>
        <w:ind w:left="0" w:leftChars="0" w:firstLine="0" w:firstLineChars="0"/>
        <w:rPr>
          <w:rFonts w:hint="eastAsia" w:ascii="黑体" w:hAnsi="黑体" w:eastAsia="黑体" w:cs="黑体"/>
          <w:b w:val="0"/>
        </w:rPr>
      </w:pPr>
      <w:r>
        <w:t>试算平衡的分类</w:t>
      </w:r>
    </w:p>
    <w:p w14:paraId="4D514A77">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试算平衡的方法包括发生额试算平衡和余额试算平衡两种。</w:t>
      </w:r>
    </w:p>
    <w:p w14:paraId="1200C63B">
      <w:pPr>
        <w:pStyle w:val="5"/>
        <w:numPr>
          <w:ilvl w:val="0"/>
          <w:numId w:val="2"/>
        </w:numPr>
        <w:topLinePunct w:val="0"/>
        <w:ind w:left="0" w:leftChars="0" w:firstLine="0" w:firstLineChars="0"/>
        <w:rPr>
          <w:rFonts w:hint="eastAsia" w:ascii="黑体" w:hAnsi="黑体" w:eastAsia="黑体" w:cs="黑体"/>
          <w:b w:val="0"/>
        </w:rPr>
      </w:pPr>
      <w:r>
        <w:t>发生额试算平衡法　　</w:t>
      </w:r>
    </w:p>
    <w:p w14:paraId="1574B977">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（1）公式：所有账户借发＝所有账户贷发</w:t>
      </w:r>
    </w:p>
    <w:p w14:paraId="6DCA60D1">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全部账户本期借方发生额合计＝全部账户本期贷方发生额合计</w:t>
      </w:r>
    </w:p>
    <w:p w14:paraId="79E5F39B">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（2）依据：“有借必有贷，借贷必相等”的记账规则</w:t>
      </w:r>
    </w:p>
    <w:p w14:paraId="368E44A2">
      <w:pPr>
        <w:pStyle w:val="5"/>
        <w:numPr>
          <w:ilvl w:val="0"/>
          <w:numId w:val="2"/>
        </w:numPr>
        <w:topLinePunct w:val="0"/>
        <w:ind w:left="0" w:leftChars="0" w:firstLine="0" w:firstLineChars="0"/>
        <w:rPr>
          <w:rFonts w:hint="eastAsia" w:ascii="黑体" w:hAnsi="黑体" w:eastAsia="黑体" w:cs="黑体"/>
          <w:b w:val="0"/>
        </w:rPr>
      </w:pPr>
      <w:r>
        <w:t>余额试算平衡法　　</w:t>
      </w:r>
    </w:p>
    <w:p w14:paraId="50134087">
      <w:pPr>
        <w:pStyle w:val="11"/>
        <w:numPr>
          <w:ilvl w:val="0"/>
          <w:numId w:val="3"/>
        </w:numPr>
        <w:topLinePunct w:val="0"/>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公式：借余＝贷余“所有账户”</w:t>
      </w:r>
    </w:p>
    <w:p w14:paraId="1B0DB59C">
      <w:pPr>
        <w:pStyle w:val="11"/>
        <w:rPr>
          <w:rFonts w:hint="eastAsia" w:eastAsia="宋体"/>
          <w:b w:val="0"/>
          <w:color w:val="000000" w:themeColor="text1"/>
          <w:lang w:eastAsia="zh-CN"/>
          <w14:textFill>
            <w14:solidFill>
              <w14:schemeClr w14:val="tx1"/>
            </w14:solidFill>
          </w14:textFill>
        </w:rPr>
      </w:pPr>
      <w:r>
        <w:rPr>
          <w:b w:val="0"/>
          <w:color w:val="000000" w:themeColor="text1"/>
          <w14:textFill>
            <w14:solidFill>
              <w14:schemeClr w14:val="tx1"/>
            </w14:solidFill>
          </w14:textFill>
        </w:rPr>
        <w:t>全部账户的借方期初余额合计=全部账户的贷方期初余额合计</w:t>
      </w:r>
    </w:p>
    <w:p w14:paraId="09B4F071">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全部账户的借方期末余额合计=全部账户的贷方期末余额合计　　　　</w:t>
      </w:r>
    </w:p>
    <w:p w14:paraId="335DA1BE">
      <w:pPr>
        <w:pStyle w:val="11"/>
        <w:numPr>
          <w:ilvl w:val="0"/>
          <w:numId w:val="3"/>
        </w:numPr>
        <w:topLinePunct w:val="0"/>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依据：会计基本等式的恒等关系：</w:t>
      </w:r>
    </w:p>
    <w:p w14:paraId="5D7F54D5">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“资产=负债+所有者权益”的恒等关系</w:t>
      </w:r>
    </w:p>
    <w:p w14:paraId="4B07561F">
      <w:pPr>
        <w:pStyle w:val="4"/>
        <w:numPr>
          <w:ilvl w:val="0"/>
          <w:numId w:val="1"/>
        </w:numPr>
        <w:topLinePunct w:val="0"/>
        <w:ind w:left="0" w:leftChars="0" w:firstLine="0" w:firstLineChars="0"/>
        <w:rPr>
          <w:rFonts w:hint="eastAsia" w:ascii="黑体" w:hAnsi="黑体" w:eastAsia="黑体" w:cs="黑体"/>
          <w:b w:val="0"/>
        </w:rPr>
      </w:pPr>
      <w:r>
        <w:t>试算平衡表的编制训练</w:t>
      </w:r>
    </w:p>
    <w:p w14:paraId="193F004D">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案例：明光有限责任公司（简称明光公司）2025年4月份发生以下经济业务（所有科目的期初余额均为已知条件）：</w:t>
      </w:r>
    </w:p>
    <w:p w14:paraId="2CFDFEB0">
      <w:pPr>
        <w:pStyle w:val="11"/>
        <w:numPr>
          <w:ilvl w:val="0"/>
          <w:numId w:val="4"/>
        </w:numPr>
        <w:topLinePunct w:val="0"/>
        <w:ind w:left="0" w:leftChars="0" w:firstLine="480" w:firstLineChars="0"/>
        <w:rPr>
          <w:b w:val="0"/>
          <w:color w:val="000000" w:themeColor="text1"/>
          <w14:textFill>
            <w14:solidFill>
              <w14:schemeClr w14:val="tx1"/>
            </w14:solidFill>
          </w14:textFill>
        </w:rPr>
      </w:pPr>
      <w:r>
        <w:rPr>
          <w:b w:val="0"/>
          <w:color w:val="000000" w:themeColor="text1"/>
          <w14:textFill>
            <w14:solidFill>
              <w14:schemeClr w14:val="tx1"/>
            </w14:solidFill>
          </w14:textFill>
        </w:rPr>
        <w:t>4月5日获得乙公司追加投资100000元，存入开户银行。</w:t>
      </w:r>
    </w:p>
    <w:p w14:paraId="23895471">
      <w:pPr>
        <w:pStyle w:val="11"/>
        <w:numPr>
          <w:ilvl w:val="0"/>
          <w:numId w:val="4"/>
        </w:numPr>
        <w:topLinePunct w:val="0"/>
        <w:ind w:left="0" w:leftChars="0" w:firstLine="480" w:firstLineChars="0"/>
        <w:rPr>
          <w:b w:val="0"/>
          <w:color w:val="000000" w:themeColor="text1"/>
          <w14:textFill>
            <w14:solidFill>
              <w14:schemeClr w14:val="tx1"/>
            </w14:solidFill>
          </w14:textFill>
        </w:rPr>
      </w:pPr>
      <w:r>
        <w:rPr>
          <w:b w:val="0"/>
          <w:color w:val="000000" w:themeColor="text1"/>
          <w14:textFill>
            <w14:solidFill>
              <w14:schemeClr w14:val="tx1"/>
            </w14:solidFill>
          </w14:textFill>
        </w:rPr>
        <w:t>4月8日，明光公司向供应商购入原材料一批，价值20000元，货款暂欠，材料已验收入库。</w:t>
      </w:r>
    </w:p>
    <w:p w14:paraId="4CE8F13D">
      <w:pPr>
        <w:pStyle w:val="11"/>
        <w:numPr>
          <w:ilvl w:val="0"/>
          <w:numId w:val="4"/>
        </w:numPr>
        <w:topLinePunct w:val="0"/>
        <w:ind w:left="0" w:leftChars="0" w:firstLine="480" w:firstLineChars="0"/>
        <w:rPr>
          <w:b w:val="0"/>
          <w:color w:val="000000" w:themeColor="text1"/>
          <w14:textFill>
            <w14:solidFill>
              <w14:schemeClr w14:val="tx1"/>
            </w14:solidFill>
          </w14:textFill>
        </w:rPr>
      </w:pPr>
      <w:r>
        <w:rPr>
          <w:b w:val="0"/>
          <w:color w:val="000000" w:themeColor="text1"/>
          <w14:textFill>
            <w14:solidFill>
              <w14:schemeClr w14:val="tx1"/>
            </w14:solidFill>
          </w14:textFill>
        </w:rPr>
        <w:t>4月15日明光公司以银行存款支付上月所欠购原材料款10000元。</w:t>
      </w:r>
    </w:p>
    <w:p w14:paraId="72E705E5">
      <w:pPr>
        <w:pStyle w:val="11"/>
        <w:numPr>
          <w:ilvl w:val="0"/>
          <w:numId w:val="4"/>
        </w:numPr>
        <w:topLinePunct w:val="0"/>
        <w:ind w:left="0" w:leftChars="0" w:firstLine="480" w:firstLineChars="0"/>
        <w:rPr>
          <w:b w:val="0"/>
          <w:color w:val="000000" w:themeColor="text1"/>
          <w14:textFill>
            <w14:solidFill>
              <w14:schemeClr w14:val="tx1"/>
            </w14:solidFill>
          </w14:textFill>
        </w:rPr>
      </w:pPr>
      <w:r>
        <w:rPr>
          <w:b w:val="0"/>
          <w:color w:val="000000" w:themeColor="text1"/>
          <w14:textFill>
            <w14:solidFill>
              <w14:schemeClr w14:val="tx1"/>
            </w14:solidFill>
          </w14:textFill>
        </w:rPr>
        <w:t>投资者丙收回投资100000元，用银行存款向其支付。</w:t>
      </w:r>
    </w:p>
    <w:p w14:paraId="1D72167A">
      <w:pPr>
        <w:pStyle w:val="11"/>
        <w:numPr>
          <w:ilvl w:val="0"/>
          <w:numId w:val="4"/>
        </w:numPr>
        <w:topLinePunct w:val="0"/>
        <w:ind w:left="0" w:leftChars="0" w:firstLine="480" w:firstLineChars="0"/>
        <w:rPr>
          <w:b w:val="0"/>
          <w:color w:val="000000" w:themeColor="text1"/>
          <w14:textFill>
            <w14:solidFill>
              <w14:schemeClr w14:val="tx1"/>
            </w14:solidFill>
          </w14:textFill>
        </w:rPr>
      </w:pPr>
      <w:r>
        <w:rPr>
          <w:b w:val="0"/>
          <w:color w:val="000000" w:themeColor="text1"/>
          <w14:textFill>
            <w14:solidFill>
              <w14:schemeClr w14:val="tx1"/>
            </w14:solidFill>
          </w14:textFill>
        </w:rPr>
        <w:t>4月21日，从银行提取现金2000元备用。</w:t>
      </w:r>
    </w:p>
    <w:p w14:paraId="3750D890">
      <w:pPr>
        <w:pStyle w:val="11"/>
        <w:numPr>
          <w:ilvl w:val="0"/>
          <w:numId w:val="4"/>
        </w:numPr>
        <w:topLinePunct w:val="0"/>
        <w:ind w:left="0" w:leftChars="0" w:firstLine="480" w:firstLineChars="0"/>
        <w:rPr>
          <w:b w:val="0"/>
          <w:color w:val="000000" w:themeColor="text1"/>
          <w14:textFill>
            <w14:solidFill>
              <w14:schemeClr w14:val="tx1"/>
            </w14:solidFill>
          </w14:textFill>
        </w:rPr>
      </w:pPr>
      <w:r>
        <w:rPr>
          <w:b w:val="0"/>
          <w:color w:val="000000" w:themeColor="text1"/>
          <w14:textFill>
            <w14:solidFill>
              <w14:schemeClr w14:val="tx1"/>
            </w14:solidFill>
          </w14:textFill>
        </w:rPr>
        <w:t>4月28日向工商银行借入一年期借款20000元用于归还前欠材料款。</w:t>
      </w:r>
    </w:p>
    <w:p w14:paraId="62AF3178">
      <w:pPr>
        <w:pStyle w:val="11"/>
        <w:numPr>
          <w:ilvl w:val="0"/>
          <w:numId w:val="4"/>
        </w:numPr>
        <w:topLinePunct w:val="0"/>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经批准企业用盈余公积50000元转增资本。</w:t>
      </w:r>
    </w:p>
    <w:p w14:paraId="1C1EE989">
      <w:pPr>
        <w:pStyle w:val="11"/>
        <w:numPr>
          <w:ilvl w:val="0"/>
          <w:numId w:val="4"/>
        </w:numPr>
        <w:topLinePunct w:val="0"/>
        <w:ind w:left="0" w:leftChars="0" w:firstLine="480" w:firstLineChars="0"/>
        <w:rPr>
          <w:b w:val="0"/>
          <w:color w:val="000000" w:themeColor="text1"/>
          <w14:textFill>
            <w14:solidFill>
              <w14:schemeClr w14:val="tx1"/>
            </w14:solidFill>
          </w14:textFill>
        </w:rPr>
      </w:pPr>
      <w:r>
        <w:rPr>
          <w:b w:val="0"/>
          <w:color w:val="000000" w:themeColor="text1"/>
          <w14:textFill>
            <w14:solidFill>
              <w14:schemeClr w14:val="tx1"/>
            </w14:solidFill>
          </w14:textFill>
        </w:rPr>
        <w:t>以盈余公积10000元向所有者分配现金股利。企业各账户的期初余额如下表5.1。</w:t>
      </w:r>
    </w:p>
    <w:p w14:paraId="1D0F7FCE">
      <w:pPr>
        <w:pStyle w:val="19"/>
      </w:pPr>
      <w:r>
        <w:t>表5.1明光有限责任公司账户期初余额表</w:t>
      </w:r>
    </w:p>
    <w:p w14:paraId="63D8EDCF">
      <w:pPr>
        <w:pStyle w:val="11"/>
        <w:ind w:firstLine="3360" w:firstLineChars="1400"/>
        <w:rPr>
          <w:rFonts w:hint="default" w:eastAsia="宋体"/>
          <w:lang w:val="en-US" w:eastAsia="zh-CN"/>
        </w:rPr>
      </w:pPr>
      <w:r>
        <w:t>2025年4月1日</w:t>
      </w:r>
      <w:r>
        <w:rPr>
          <w:rFonts w:hint="eastAsia"/>
          <w:lang w:val="en-US" w:eastAsia="zh-CN"/>
        </w:rPr>
        <w:t xml:space="preserve">               单位：元</w:t>
      </w:r>
    </w:p>
    <w:tbl>
      <w:tblPr>
        <w:tblStyle w:val="17"/>
        <w:tblW w:w="5000" w:type="pct"/>
        <w:tblInd w:w="0" w:type="dxa"/>
        <w:tblLayout w:type="autofit"/>
        <w:tblCellMar>
          <w:top w:w="0" w:type="dxa"/>
          <w:left w:w="0" w:type="dxa"/>
          <w:bottom w:w="0" w:type="dxa"/>
          <w:right w:w="0" w:type="dxa"/>
        </w:tblCellMar>
      </w:tblPr>
      <w:tblGrid>
        <w:gridCol w:w="2840"/>
        <w:gridCol w:w="2841"/>
        <w:gridCol w:w="2841"/>
      </w:tblGrid>
      <w:tr w14:paraId="48AEF372">
        <w:tblPrEx>
          <w:tblCellMar>
            <w:top w:w="0" w:type="dxa"/>
            <w:left w:w="0" w:type="dxa"/>
            <w:bottom w:w="0" w:type="dxa"/>
            <w:right w:w="0" w:type="dxa"/>
          </w:tblCellMar>
        </w:tblPrEx>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CD0C31C">
            <w:pPr>
              <w:jc w:val="center"/>
              <w:rPr>
                <w:b/>
              </w:rPr>
            </w:pPr>
            <w:r>
              <w:rPr>
                <w:b/>
              </w:rPr>
              <w:t>账户名称</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B32C636">
            <w:pPr>
              <w:jc w:val="center"/>
              <w:rPr>
                <w:b/>
              </w:rPr>
            </w:pPr>
            <w:r>
              <w:rPr>
                <w:b/>
              </w:rPr>
              <w:t>借方余额</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1CC2A7E">
            <w:pPr>
              <w:jc w:val="center"/>
              <w:rPr>
                <w:b/>
              </w:rPr>
            </w:pPr>
            <w:r>
              <w:rPr>
                <w:b/>
              </w:rPr>
              <w:t>贷方余额</w:t>
            </w:r>
          </w:p>
        </w:tc>
      </w:tr>
      <w:tr w14:paraId="0458485E">
        <w:tblPrEx>
          <w:tblCellMar>
            <w:top w:w="0" w:type="dxa"/>
            <w:left w:w="0" w:type="dxa"/>
            <w:bottom w:w="0" w:type="dxa"/>
            <w:right w:w="0" w:type="dxa"/>
          </w:tblCellMar>
        </w:tblPrEx>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2694555">
            <w:r>
              <w:t>库存现金</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E10B06C">
            <w:r>
              <w:t>90000</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0EB1AA3"/>
        </w:tc>
      </w:tr>
      <w:tr w14:paraId="1D75F615">
        <w:tblPrEx>
          <w:tblCellMar>
            <w:top w:w="0" w:type="dxa"/>
            <w:left w:w="0" w:type="dxa"/>
            <w:bottom w:w="0" w:type="dxa"/>
            <w:right w:w="0" w:type="dxa"/>
          </w:tblCellMar>
        </w:tblPrEx>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270CEEE">
            <w:r>
              <w:t>银行存款</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E29C464">
            <w:r>
              <w:t>300000</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493653B"/>
        </w:tc>
      </w:tr>
      <w:tr w14:paraId="5B867365">
        <w:tblPrEx>
          <w:tblCellMar>
            <w:top w:w="0" w:type="dxa"/>
            <w:left w:w="0" w:type="dxa"/>
            <w:bottom w:w="0" w:type="dxa"/>
            <w:right w:w="0" w:type="dxa"/>
          </w:tblCellMar>
        </w:tblPrEx>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E5374C4">
            <w:r>
              <w:t>原材料</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CEB6449">
            <w:r>
              <w:t>100000</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2A5D920"/>
        </w:tc>
      </w:tr>
      <w:tr w14:paraId="28041A8A">
        <w:tblPrEx>
          <w:tblCellMar>
            <w:top w:w="0" w:type="dxa"/>
            <w:left w:w="0" w:type="dxa"/>
            <w:bottom w:w="0" w:type="dxa"/>
            <w:right w:w="0" w:type="dxa"/>
          </w:tblCellMar>
        </w:tblPrEx>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68A2BFD">
            <w:r>
              <w:t>短期借款</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50172D2"/>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0676E0E">
            <w:r>
              <w:t>50000</w:t>
            </w:r>
          </w:p>
        </w:tc>
      </w:tr>
      <w:tr w14:paraId="7C2B896D">
        <w:tblPrEx>
          <w:tblCellMar>
            <w:top w:w="0" w:type="dxa"/>
            <w:left w:w="0" w:type="dxa"/>
            <w:bottom w:w="0" w:type="dxa"/>
            <w:right w:w="0" w:type="dxa"/>
          </w:tblCellMar>
        </w:tblPrEx>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AD69DEE">
            <w:r>
              <w:t>应付账款</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17B8430"/>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58C07C2">
            <w:r>
              <w:t>40000</w:t>
            </w:r>
          </w:p>
        </w:tc>
      </w:tr>
      <w:tr w14:paraId="6499CD8F">
        <w:tblPrEx>
          <w:tblCellMar>
            <w:top w:w="0" w:type="dxa"/>
            <w:left w:w="0" w:type="dxa"/>
            <w:bottom w:w="0" w:type="dxa"/>
            <w:right w:w="0" w:type="dxa"/>
          </w:tblCellMar>
        </w:tblPrEx>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49CF1B5">
            <w:r>
              <w:t>实收资本</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F3C05B4"/>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095DBED">
            <w:r>
              <w:t>300000</w:t>
            </w:r>
          </w:p>
        </w:tc>
      </w:tr>
      <w:tr w14:paraId="28E44C06">
        <w:tblPrEx>
          <w:tblCellMar>
            <w:top w:w="0" w:type="dxa"/>
            <w:left w:w="0" w:type="dxa"/>
            <w:bottom w:w="0" w:type="dxa"/>
            <w:right w:w="0" w:type="dxa"/>
          </w:tblCellMar>
        </w:tblPrEx>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952DC77">
            <w:r>
              <w:t>盈余公积</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5983B28"/>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76F869B">
            <w:r>
              <w:t>100000</w:t>
            </w:r>
          </w:p>
        </w:tc>
      </w:tr>
      <w:tr w14:paraId="1BED8ED6">
        <w:tblPrEx>
          <w:tblCellMar>
            <w:top w:w="0" w:type="dxa"/>
            <w:left w:w="0" w:type="dxa"/>
            <w:bottom w:w="0" w:type="dxa"/>
            <w:right w:w="0" w:type="dxa"/>
          </w:tblCellMar>
        </w:tblPrEx>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D25A7B5">
            <w:r>
              <w:t>合计</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77C430E">
            <w:r>
              <w:t>490000</w:t>
            </w:r>
          </w:p>
        </w:tc>
        <w:tc>
          <w:tcPr>
            <w:tcW w:w="166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204CCDE">
            <w:r>
              <w:t>490000</w:t>
            </w:r>
          </w:p>
        </w:tc>
      </w:tr>
    </w:tbl>
    <w:p w14:paraId="705704F5">
      <w:pPr>
        <w:rPr>
          <w:rFonts w:hint="eastAsia"/>
          <w:lang w:eastAsia="zh-CN"/>
        </w:rPr>
      </w:pPr>
    </w:p>
    <w:p w14:paraId="46C8A593">
      <w:pPr>
        <w:pStyle w:val="11"/>
        <w:rPr>
          <w:b w:val="0"/>
        </w:rPr>
      </w:pPr>
      <w:r>
        <w:rPr>
          <w:b w:val="0"/>
        </w:rPr>
        <w:t>步骤一：编制分录（以下分录简化处理，均不考虑相关税费）</w:t>
      </w:r>
    </w:p>
    <w:p w14:paraId="17C0CCA3">
      <w:pPr>
        <w:pStyle w:val="11"/>
        <w:numPr>
          <w:ilvl w:val="0"/>
          <w:numId w:val="5"/>
        </w:numPr>
        <w:topLinePunct w:val="0"/>
        <w:ind w:left="0" w:leftChars="0" w:firstLine="480" w:firstLineChars="0"/>
        <w:rPr>
          <w:b w:val="0"/>
        </w:rPr>
      </w:pPr>
      <w:r>
        <w:rPr>
          <w:b w:val="0"/>
        </w:rPr>
        <w:t>4月5日获得乙公司追加投资100000元，存入开户银行。</w:t>
      </w:r>
    </w:p>
    <w:p w14:paraId="69DA7DF1">
      <w:pPr>
        <w:pStyle w:val="11"/>
        <w:rPr>
          <w:b w:val="0"/>
        </w:rPr>
      </w:pPr>
      <w:r>
        <w:rPr>
          <w:b w:val="0"/>
        </w:rPr>
        <w:t>借：银行存款</w:t>
      </w:r>
      <w:r>
        <w:rPr>
          <w:rFonts w:hint="eastAsia"/>
          <w:b w:val="0"/>
          <w:lang w:val="en-US" w:eastAsia="zh-CN"/>
        </w:rPr>
        <w:t xml:space="preserve">   </w:t>
      </w:r>
      <w:r>
        <w:rPr>
          <w:b w:val="0"/>
        </w:rPr>
        <w:t>100000</w:t>
      </w:r>
    </w:p>
    <w:p w14:paraId="2C3FBEC6">
      <w:pPr>
        <w:pStyle w:val="11"/>
        <w:ind w:firstLine="960" w:firstLineChars="400"/>
        <w:rPr>
          <w:rFonts w:hint="eastAsia" w:eastAsia="宋体"/>
          <w:b w:val="0"/>
          <w:lang w:eastAsia="zh-CN"/>
        </w:rPr>
      </w:pPr>
      <w:r>
        <w:rPr>
          <w:b w:val="0"/>
        </w:rPr>
        <w:t>贷：实收资本</w:t>
      </w:r>
      <w:r>
        <w:rPr>
          <w:rFonts w:hint="eastAsia"/>
          <w:b w:val="0"/>
          <w:lang w:val="en-US" w:eastAsia="zh-CN"/>
        </w:rPr>
        <w:t xml:space="preserve">   </w:t>
      </w:r>
      <w:r>
        <w:rPr>
          <w:b w:val="0"/>
        </w:rPr>
        <w:t>100000</w:t>
      </w:r>
    </w:p>
    <w:p w14:paraId="1CD91CF7">
      <w:pPr>
        <w:pStyle w:val="11"/>
        <w:numPr>
          <w:ilvl w:val="0"/>
          <w:numId w:val="5"/>
        </w:numPr>
        <w:topLinePunct w:val="0"/>
        <w:ind w:left="0" w:leftChars="0" w:firstLine="480" w:firstLineChars="0"/>
        <w:rPr>
          <w:b w:val="0"/>
        </w:rPr>
      </w:pPr>
      <w:r>
        <w:rPr>
          <w:b w:val="0"/>
        </w:rPr>
        <w:t>4月8日，明光公司向供应商购入原材料一批，价值20000元，货款暂欠，材料已验收入库。（不考虑税费）</w:t>
      </w:r>
    </w:p>
    <w:p w14:paraId="30E43640">
      <w:pPr>
        <w:pStyle w:val="11"/>
        <w:rPr>
          <w:b w:val="0"/>
        </w:rPr>
      </w:pPr>
      <w:r>
        <w:rPr>
          <w:b w:val="0"/>
        </w:rPr>
        <w:t>借：原材料</w:t>
      </w:r>
      <w:r>
        <w:rPr>
          <w:rFonts w:hint="eastAsia"/>
          <w:b w:val="0"/>
          <w:lang w:val="en-US" w:eastAsia="zh-CN"/>
        </w:rPr>
        <w:t xml:space="preserve">   </w:t>
      </w:r>
      <w:r>
        <w:rPr>
          <w:b w:val="0"/>
        </w:rPr>
        <w:t>20000</w:t>
      </w:r>
    </w:p>
    <w:p w14:paraId="7F77E324">
      <w:pPr>
        <w:pStyle w:val="11"/>
        <w:ind w:firstLine="960" w:firstLineChars="400"/>
        <w:rPr>
          <w:b w:val="0"/>
        </w:rPr>
      </w:pPr>
      <w:r>
        <w:rPr>
          <w:b w:val="0"/>
        </w:rPr>
        <w:t>贷：应付账款</w:t>
      </w:r>
      <w:r>
        <w:rPr>
          <w:rFonts w:hint="eastAsia"/>
          <w:b w:val="0"/>
          <w:lang w:val="en-US" w:eastAsia="zh-CN"/>
        </w:rPr>
        <w:t xml:space="preserve">   </w:t>
      </w:r>
      <w:r>
        <w:rPr>
          <w:b w:val="0"/>
        </w:rPr>
        <w:t>20000</w:t>
      </w:r>
    </w:p>
    <w:p w14:paraId="38D492CC">
      <w:pPr>
        <w:pStyle w:val="11"/>
        <w:numPr>
          <w:ilvl w:val="0"/>
          <w:numId w:val="5"/>
        </w:numPr>
        <w:topLinePunct w:val="0"/>
        <w:ind w:left="0" w:leftChars="0" w:firstLine="480" w:firstLineChars="0"/>
        <w:rPr>
          <w:b w:val="0"/>
        </w:rPr>
      </w:pPr>
      <w:r>
        <w:t>4月15日明光公司以银行存款支付上月所欠购原材料款10000元。</w:t>
      </w:r>
    </w:p>
    <w:p w14:paraId="483055BF">
      <w:pPr>
        <w:pStyle w:val="11"/>
      </w:pPr>
      <w:r>
        <w:t>借：应付账款</w:t>
      </w:r>
      <w:r>
        <w:rPr>
          <w:rFonts w:hint="eastAsia"/>
          <w:lang w:val="en-US" w:eastAsia="zh-CN"/>
        </w:rPr>
        <w:t xml:space="preserve">   </w:t>
      </w:r>
      <w:r>
        <w:t>10000</w:t>
      </w:r>
    </w:p>
    <w:p w14:paraId="5705B651">
      <w:pPr>
        <w:pStyle w:val="11"/>
        <w:ind w:firstLine="960" w:firstLineChars="400"/>
        <w:rPr>
          <w:rFonts w:hint="eastAsia" w:eastAsia="宋体"/>
          <w:lang w:eastAsia="zh-CN"/>
        </w:rPr>
      </w:pPr>
      <w:r>
        <w:t>贷：银行存款</w:t>
      </w:r>
      <w:r>
        <w:rPr>
          <w:rFonts w:hint="eastAsia"/>
          <w:lang w:val="en-US" w:eastAsia="zh-CN"/>
        </w:rPr>
        <w:t xml:space="preserve">   </w:t>
      </w:r>
      <w:r>
        <w:t>10000</w:t>
      </w:r>
    </w:p>
    <w:p w14:paraId="210FF82A">
      <w:pPr>
        <w:pStyle w:val="11"/>
        <w:numPr>
          <w:ilvl w:val="0"/>
          <w:numId w:val="5"/>
        </w:numPr>
        <w:topLinePunct w:val="0"/>
        <w:ind w:left="0" w:leftChars="0" w:firstLine="480" w:firstLineChars="0"/>
        <w:rPr>
          <w:rFonts w:hint="eastAsia" w:ascii="宋体" w:hAnsi="宋体" w:eastAsia="宋体" w:cs="宋体"/>
          <w:b w:val="0"/>
        </w:rPr>
      </w:pPr>
      <w:r>
        <w:t>投资者丙收回投资100000元，用银行存款向其支付。</w:t>
      </w:r>
    </w:p>
    <w:p w14:paraId="374D362A">
      <w:pPr>
        <w:pStyle w:val="11"/>
      </w:pPr>
      <w:r>
        <w:t>借：实收资本-丙公司</w:t>
      </w:r>
      <w:r>
        <w:rPr>
          <w:rFonts w:hint="eastAsia"/>
          <w:lang w:val="en-US" w:eastAsia="zh-CN"/>
        </w:rPr>
        <w:t xml:space="preserve">   </w:t>
      </w:r>
      <w:r>
        <w:t>100000</w:t>
      </w:r>
    </w:p>
    <w:p w14:paraId="05FD52CE">
      <w:pPr>
        <w:pStyle w:val="11"/>
        <w:ind w:firstLine="960" w:firstLineChars="400"/>
        <w:rPr>
          <w:rFonts w:hint="eastAsia" w:eastAsia="宋体"/>
          <w:lang w:eastAsia="zh-CN"/>
        </w:rPr>
      </w:pPr>
      <w:r>
        <w:rPr>
          <w:rFonts w:hint="eastAsia"/>
        </w:rPr>
        <w:t>贷：银行存款</w:t>
      </w:r>
      <w:r>
        <w:rPr>
          <w:rFonts w:hint="eastAsia"/>
          <w:lang w:val="en-US" w:eastAsia="zh-CN"/>
        </w:rPr>
        <w:t xml:space="preserve">         </w:t>
      </w:r>
      <w:r>
        <w:rPr>
          <w:rFonts w:hint="eastAsia"/>
        </w:rPr>
        <w:t>100000</w:t>
      </w:r>
    </w:p>
    <w:p w14:paraId="0643A7C1">
      <w:pPr>
        <w:pStyle w:val="11"/>
        <w:numPr>
          <w:ilvl w:val="0"/>
          <w:numId w:val="5"/>
        </w:numPr>
        <w:topLinePunct w:val="0"/>
        <w:ind w:left="0" w:leftChars="0" w:firstLine="480" w:firstLineChars="0"/>
        <w:rPr>
          <w:b w:val="0"/>
        </w:rPr>
      </w:pPr>
      <w:r>
        <w:t>4月21日，从银行提取现金2000元备用。</w:t>
      </w:r>
    </w:p>
    <w:p w14:paraId="5DC4B45C">
      <w:pPr>
        <w:pStyle w:val="11"/>
      </w:pPr>
      <w:r>
        <w:t>借：库存现金</w:t>
      </w:r>
      <w:r>
        <w:rPr>
          <w:rFonts w:hint="eastAsia"/>
          <w:lang w:val="en-US" w:eastAsia="zh-CN"/>
        </w:rPr>
        <w:t xml:space="preserve">   </w:t>
      </w:r>
      <w:r>
        <w:t>2000</w:t>
      </w:r>
    </w:p>
    <w:p w14:paraId="7C036BBC">
      <w:pPr>
        <w:pStyle w:val="11"/>
        <w:ind w:firstLine="960" w:firstLineChars="400"/>
      </w:pPr>
      <w:r>
        <w:t>贷：银行存款</w:t>
      </w:r>
      <w:r>
        <w:rPr>
          <w:rFonts w:hint="eastAsia"/>
          <w:lang w:val="en-US" w:eastAsia="zh-CN"/>
        </w:rPr>
        <w:t xml:space="preserve">    </w:t>
      </w:r>
      <w:r>
        <w:t>2000</w:t>
      </w:r>
    </w:p>
    <w:p w14:paraId="5DB463A2">
      <w:pPr>
        <w:pStyle w:val="11"/>
        <w:numPr>
          <w:ilvl w:val="0"/>
          <w:numId w:val="5"/>
        </w:numPr>
        <w:topLinePunct w:val="0"/>
        <w:ind w:left="0" w:leftChars="0" w:firstLine="480" w:firstLineChars="0"/>
        <w:rPr>
          <w:b w:val="0"/>
        </w:rPr>
      </w:pPr>
      <w:r>
        <w:t>4月28日向工商银行借入一年期借款20000元用于归还前欠材料款。</w:t>
      </w:r>
    </w:p>
    <w:p w14:paraId="3CD9A859">
      <w:pPr>
        <w:pStyle w:val="11"/>
      </w:pPr>
      <w:r>
        <w:t>借：应付账款</w:t>
      </w:r>
      <w:r>
        <w:rPr>
          <w:rFonts w:hint="eastAsia"/>
          <w:lang w:val="en-US" w:eastAsia="zh-CN"/>
        </w:rPr>
        <w:t xml:space="preserve">   </w:t>
      </w:r>
      <w:r>
        <w:t>20000</w:t>
      </w:r>
    </w:p>
    <w:p w14:paraId="6B8000C5">
      <w:pPr>
        <w:pStyle w:val="11"/>
        <w:ind w:firstLine="960" w:firstLineChars="400"/>
      </w:pPr>
      <w:r>
        <w:t>贷：短期借款</w:t>
      </w:r>
      <w:r>
        <w:rPr>
          <w:rFonts w:hint="eastAsia"/>
          <w:lang w:val="en-US" w:eastAsia="zh-CN"/>
        </w:rPr>
        <w:t xml:space="preserve">   </w:t>
      </w:r>
      <w:r>
        <w:t>20000</w:t>
      </w:r>
    </w:p>
    <w:p w14:paraId="3727B192">
      <w:pPr>
        <w:pStyle w:val="11"/>
        <w:numPr>
          <w:ilvl w:val="0"/>
          <w:numId w:val="5"/>
        </w:numPr>
        <w:topLinePunct w:val="0"/>
        <w:ind w:left="0" w:leftChars="0" w:firstLine="480" w:firstLineChars="0"/>
        <w:rPr>
          <w:rFonts w:hint="eastAsia" w:ascii="宋体" w:hAnsi="宋体" w:eastAsia="宋体" w:cs="宋体"/>
          <w:b w:val="0"/>
        </w:rPr>
      </w:pPr>
      <w:r>
        <w:t>经批准企业用盈余公积50000元转增资本。</w:t>
      </w:r>
    </w:p>
    <w:p w14:paraId="1388260D">
      <w:pPr>
        <w:pStyle w:val="11"/>
      </w:pPr>
      <w:r>
        <w:t>借：盈余公积</w:t>
      </w:r>
      <w:r>
        <w:rPr>
          <w:rFonts w:hint="eastAsia"/>
          <w:lang w:val="en-US" w:eastAsia="zh-CN"/>
        </w:rPr>
        <w:t xml:space="preserve">   </w:t>
      </w:r>
      <w:r>
        <w:t>50000</w:t>
      </w:r>
    </w:p>
    <w:p w14:paraId="27AB5D6C">
      <w:pPr>
        <w:pStyle w:val="11"/>
        <w:ind w:firstLine="960" w:firstLineChars="400"/>
        <w:rPr>
          <w:rFonts w:hint="eastAsia" w:eastAsia="宋体"/>
          <w:lang w:eastAsia="zh-CN"/>
        </w:rPr>
      </w:pPr>
      <w:r>
        <w:t>贷：实收资本</w:t>
      </w:r>
      <w:r>
        <w:rPr>
          <w:rFonts w:hint="eastAsia"/>
          <w:lang w:val="en-US" w:eastAsia="zh-CN"/>
        </w:rPr>
        <w:t xml:space="preserve">   </w:t>
      </w:r>
      <w:r>
        <w:t>50000</w:t>
      </w:r>
    </w:p>
    <w:p w14:paraId="5F12940E">
      <w:pPr>
        <w:pStyle w:val="11"/>
        <w:numPr>
          <w:ilvl w:val="0"/>
          <w:numId w:val="5"/>
        </w:numPr>
        <w:topLinePunct w:val="0"/>
        <w:ind w:left="0" w:leftChars="0" w:firstLine="480" w:firstLineChars="0"/>
        <w:rPr>
          <w:rFonts w:hint="eastAsia" w:ascii="宋体" w:hAnsi="宋体" w:eastAsia="宋体" w:cs="宋体"/>
          <w:b w:val="0"/>
        </w:rPr>
      </w:pPr>
      <w:r>
        <w:t>以盈余公积10000元向所有者分配现金股利。</w:t>
      </w:r>
    </w:p>
    <w:p w14:paraId="0959E99B">
      <w:pPr>
        <w:pStyle w:val="11"/>
        <w:rPr>
          <w:rFonts w:hint="eastAsia" w:eastAsia="宋体"/>
          <w:lang w:eastAsia="zh-CN"/>
        </w:rPr>
      </w:pPr>
      <w:r>
        <w:t>借：盈余公积</w:t>
      </w:r>
      <w:r>
        <w:rPr>
          <w:rFonts w:hint="eastAsia"/>
          <w:lang w:val="en-US" w:eastAsia="zh-CN"/>
        </w:rPr>
        <w:t xml:space="preserve">   </w:t>
      </w:r>
      <w:r>
        <w:t>10000</w:t>
      </w:r>
    </w:p>
    <w:p w14:paraId="0EA7F1BA">
      <w:pPr>
        <w:pStyle w:val="11"/>
        <w:ind w:firstLine="960" w:firstLineChars="400"/>
        <w:rPr>
          <w:rFonts w:hint="eastAsia" w:eastAsia="宋体"/>
          <w:lang w:eastAsia="zh-CN"/>
        </w:rPr>
      </w:pPr>
      <w:r>
        <w:rPr>
          <w:rFonts w:hint="eastAsia"/>
        </w:rPr>
        <w:t>贷：应付股利</w:t>
      </w:r>
      <w:r>
        <w:rPr>
          <w:rFonts w:hint="eastAsia"/>
          <w:lang w:val="en-US" w:eastAsia="zh-CN"/>
        </w:rPr>
        <w:t xml:space="preserve">   </w:t>
      </w:r>
      <w:r>
        <w:rPr>
          <w:rFonts w:hint="eastAsia"/>
        </w:rPr>
        <w:t>10000</w:t>
      </w:r>
    </w:p>
    <w:p w14:paraId="2EDCA5AD">
      <w:pPr>
        <w:pStyle w:val="11"/>
        <w:rPr>
          <w:rFonts w:hint="eastAsia" w:eastAsia="宋体"/>
          <w:lang w:eastAsia="zh-CN"/>
        </w:rPr>
      </w:pPr>
      <w:r>
        <w:t>步骤二：在草稿纸上画出各个账户，并将各账户的期初余额，本期发生额过入，</w:t>
      </w:r>
      <w:r>
        <w:rPr>
          <w:rFonts w:hint="eastAsia"/>
          <w:lang w:val="en-US" w:eastAsia="zh-CN"/>
        </w:rPr>
        <w:t>并</w:t>
      </w:r>
      <w:r>
        <w:t>计算本期累计借方</w:t>
      </w:r>
      <w:r>
        <w:rPr>
          <w:rFonts w:hint="eastAsia"/>
          <w:lang w:val="en-US" w:eastAsia="zh-CN"/>
        </w:rPr>
        <w:t>或</w:t>
      </w:r>
      <w:r>
        <w:t>贷方发生额及期末余额。</w:t>
      </w:r>
    </w:p>
    <w:p w14:paraId="25D8775B">
      <w:pPr>
        <w:spacing w:line="240" w:lineRule="auto"/>
      </w:pPr>
      <w:r>
        <w:drawing>
          <wp:inline distT="0" distB="0" distL="114300" distR="114300">
            <wp:extent cx="2428240" cy="1676400"/>
            <wp:effectExtent l="0" t="0" r="1016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2428240" cy="167640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480945" cy="1675130"/>
            <wp:effectExtent l="0" t="0" r="8255" b="127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7"/>
                    <a:stretch>
                      <a:fillRect/>
                    </a:stretch>
                  </pic:blipFill>
                  <pic:spPr>
                    <a:xfrm>
                      <a:off x="0" y="0"/>
                      <a:ext cx="2480945" cy="1675130"/>
                    </a:xfrm>
                    <a:prstGeom prst="rect">
                      <a:avLst/>
                    </a:prstGeom>
                    <a:noFill/>
                    <a:ln>
                      <a:noFill/>
                    </a:ln>
                  </pic:spPr>
                </pic:pic>
              </a:graphicData>
            </a:graphic>
          </wp:inline>
        </w:drawing>
      </w:r>
    </w:p>
    <w:p w14:paraId="59741974">
      <w:pPr>
        <w:spacing w:line="240" w:lineRule="auto"/>
      </w:pPr>
      <w:r>
        <w:drawing>
          <wp:inline distT="0" distB="0" distL="114300" distR="114300">
            <wp:extent cx="2484755" cy="1631315"/>
            <wp:effectExtent l="0" t="0" r="4445" b="698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rcRect r="3282" b="1364"/>
                    <a:stretch>
                      <a:fillRect/>
                    </a:stretch>
                  </pic:blipFill>
                  <pic:spPr>
                    <a:xfrm>
                      <a:off x="0" y="0"/>
                      <a:ext cx="2484755" cy="163131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306955" cy="1676400"/>
            <wp:effectExtent l="0" t="0" r="4445" b="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9"/>
                    <a:stretch>
                      <a:fillRect/>
                    </a:stretch>
                  </pic:blipFill>
                  <pic:spPr>
                    <a:xfrm>
                      <a:off x="0" y="0"/>
                      <a:ext cx="2306955" cy="1676400"/>
                    </a:xfrm>
                    <a:prstGeom prst="rect">
                      <a:avLst/>
                    </a:prstGeom>
                    <a:noFill/>
                    <a:ln>
                      <a:noFill/>
                    </a:ln>
                  </pic:spPr>
                </pic:pic>
              </a:graphicData>
            </a:graphic>
          </wp:inline>
        </w:drawing>
      </w:r>
    </w:p>
    <w:p w14:paraId="5669A2C7"/>
    <w:p w14:paraId="485BA1E0">
      <w:pPr>
        <w:spacing w:line="240" w:lineRule="auto"/>
      </w:pPr>
      <w:r>
        <w:drawing>
          <wp:inline distT="0" distB="0" distL="114300" distR="114300">
            <wp:extent cx="2526030" cy="1576705"/>
            <wp:effectExtent l="0" t="0" r="1270" b="10795"/>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0"/>
                    <a:stretch>
                      <a:fillRect/>
                    </a:stretch>
                  </pic:blipFill>
                  <pic:spPr>
                    <a:xfrm>
                      <a:off x="0" y="0"/>
                      <a:ext cx="2526030" cy="157670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510155" cy="1587500"/>
            <wp:effectExtent l="0" t="0" r="4445" b="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1"/>
                    <a:stretch>
                      <a:fillRect/>
                    </a:stretch>
                  </pic:blipFill>
                  <pic:spPr>
                    <a:xfrm>
                      <a:off x="0" y="0"/>
                      <a:ext cx="2510155" cy="1587500"/>
                    </a:xfrm>
                    <a:prstGeom prst="rect">
                      <a:avLst/>
                    </a:prstGeom>
                    <a:noFill/>
                    <a:ln>
                      <a:noFill/>
                    </a:ln>
                  </pic:spPr>
                </pic:pic>
              </a:graphicData>
            </a:graphic>
          </wp:inline>
        </w:drawing>
      </w:r>
    </w:p>
    <w:p w14:paraId="6046DF6A"/>
    <w:p w14:paraId="7DB9BD2B">
      <w:pPr>
        <w:spacing w:line="240" w:lineRule="auto"/>
        <w:rPr>
          <w:rFonts w:hint="default" w:eastAsiaTheme="minorEastAsia"/>
          <w:lang w:val="en-US" w:eastAsia="zh-CN"/>
        </w:rPr>
      </w:pPr>
      <w:r>
        <w:drawing>
          <wp:inline distT="0" distB="0" distL="114300" distR="114300">
            <wp:extent cx="2540635" cy="1537970"/>
            <wp:effectExtent l="0" t="0" r="12065" b="1143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2"/>
                    <a:stretch>
                      <a:fillRect/>
                    </a:stretch>
                  </pic:blipFill>
                  <pic:spPr>
                    <a:xfrm>
                      <a:off x="0" y="0"/>
                      <a:ext cx="2540635" cy="153797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490470" cy="1558925"/>
            <wp:effectExtent l="0" t="0" r="11430" b="3175"/>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3"/>
                    <a:stretch>
                      <a:fillRect/>
                    </a:stretch>
                  </pic:blipFill>
                  <pic:spPr>
                    <a:xfrm>
                      <a:off x="0" y="0"/>
                      <a:ext cx="2490470" cy="1558925"/>
                    </a:xfrm>
                    <a:prstGeom prst="rect">
                      <a:avLst/>
                    </a:prstGeom>
                    <a:noFill/>
                    <a:ln>
                      <a:noFill/>
                    </a:ln>
                  </pic:spPr>
                </pic:pic>
              </a:graphicData>
            </a:graphic>
          </wp:inline>
        </w:drawing>
      </w:r>
    </w:p>
    <w:p w14:paraId="72BBD0F2">
      <w:pPr>
        <w:pStyle w:val="11"/>
      </w:pPr>
      <w:r>
        <w:t>步骤三：统计企业所有的会计科目，填入总分类账户发生额及余额试算平衡表。包括企业有期初余额或期末余额的科目、企业有发生额的科目等。所以表5.1所有有期初余额的科目和分录中有发生额的科目都得过入试算平衡表。填写如下：</w:t>
      </w:r>
    </w:p>
    <w:p w14:paraId="1C596E7E">
      <w:pPr>
        <w:pStyle w:val="19"/>
        <w:keepNext w:val="0"/>
        <w:keepLines w:val="0"/>
        <w:pageBreakBefore w:val="0"/>
        <w:widowControl w:val="0"/>
        <w:kinsoku/>
        <w:wordWrap/>
        <w:overflowPunct/>
        <w:topLinePunct w:val="0"/>
        <w:autoSpaceDE/>
        <w:autoSpaceDN/>
        <w:bidi w:val="0"/>
        <w:adjustRightInd w:val="0"/>
        <w:snapToGrid w:val="0"/>
        <w:textAlignment w:val="auto"/>
      </w:pPr>
      <w:r>
        <w:t>表5.2总分类账户发生额及余额试算平衡表</w:t>
      </w:r>
    </w:p>
    <w:p w14:paraId="6E920131">
      <w:pPr>
        <w:pStyle w:val="11"/>
        <w:keepNext w:val="0"/>
        <w:keepLines w:val="0"/>
        <w:pageBreakBefore w:val="0"/>
        <w:widowControl w:val="0"/>
        <w:kinsoku/>
        <w:wordWrap/>
        <w:overflowPunct/>
        <w:topLinePunct w:val="0"/>
        <w:autoSpaceDE/>
        <w:autoSpaceDN/>
        <w:bidi w:val="0"/>
        <w:adjustRightInd w:val="0"/>
        <w:snapToGrid w:val="0"/>
        <w:ind w:firstLine="3360" w:firstLineChars="1400"/>
        <w:textAlignment w:val="auto"/>
      </w:pPr>
      <w:r>
        <w:t>2025年4月30日</w:t>
      </w:r>
      <w:r>
        <w:rPr>
          <w:rFonts w:hint="eastAsia"/>
          <w:lang w:val="en-US" w:eastAsia="zh-CN"/>
        </w:rPr>
        <w:t xml:space="preserve">                </w:t>
      </w:r>
      <w:r>
        <w:t>单位：元</w:t>
      </w:r>
    </w:p>
    <w:tbl>
      <w:tblPr>
        <w:tblStyle w:val="17"/>
        <w:tblW w:w="5000" w:type="pct"/>
        <w:tblInd w:w="0" w:type="dxa"/>
        <w:tblLayout w:type="autofit"/>
        <w:tblCellMar>
          <w:top w:w="0" w:type="dxa"/>
          <w:left w:w="0" w:type="dxa"/>
          <w:bottom w:w="0" w:type="dxa"/>
          <w:right w:w="0" w:type="dxa"/>
        </w:tblCellMar>
      </w:tblPr>
      <w:tblGrid>
        <w:gridCol w:w="1848"/>
        <w:gridCol w:w="1112"/>
        <w:gridCol w:w="1112"/>
        <w:gridCol w:w="1112"/>
        <w:gridCol w:w="1112"/>
        <w:gridCol w:w="1113"/>
        <w:gridCol w:w="1113"/>
      </w:tblGrid>
      <w:tr w14:paraId="623ACAC0">
        <w:tblPrEx>
          <w:tblCellMar>
            <w:top w:w="0" w:type="dxa"/>
            <w:left w:w="0" w:type="dxa"/>
            <w:bottom w:w="0" w:type="dxa"/>
            <w:right w:w="0" w:type="dxa"/>
          </w:tblCellMar>
        </w:tblPrEx>
        <w:tc>
          <w:tcPr>
            <w:tcW w:w="1084"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9B9C021">
            <w:pPr>
              <w:jc w:val="center"/>
              <w:rPr>
                <w:b/>
              </w:rPr>
            </w:pPr>
            <w:r>
              <w:rPr>
                <w:b/>
              </w:rPr>
              <w:t>账户名称</w:t>
            </w:r>
          </w:p>
        </w:tc>
        <w:tc>
          <w:tcPr>
            <w:tcW w:w="1304"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C3EA728">
            <w:pPr>
              <w:jc w:val="center"/>
              <w:rPr>
                <w:b/>
              </w:rPr>
            </w:pPr>
            <w:r>
              <w:rPr>
                <w:b/>
              </w:rPr>
              <w:t>期初余额</w:t>
            </w:r>
          </w:p>
        </w:tc>
        <w:tc>
          <w:tcPr>
            <w:tcW w:w="1304"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C3C5AA4">
            <w:pPr>
              <w:jc w:val="center"/>
              <w:rPr>
                <w:b/>
              </w:rPr>
            </w:pPr>
            <w:r>
              <w:rPr>
                <w:b/>
              </w:rPr>
              <w:t>本期发生额</w:t>
            </w:r>
          </w:p>
        </w:tc>
        <w:tc>
          <w:tcPr>
            <w:tcW w:w="1306"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27D3538">
            <w:pPr>
              <w:jc w:val="center"/>
              <w:rPr>
                <w:b/>
              </w:rPr>
            </w:pPr>
            <w:r>
              <w:rPr>
                <w:b/>
              </w:rPr>
              <w:t>期末余额</w:t>
            </w:r>
          </w:p>
        </w:tc>
      </w:tr>
      <w:tr w14:paraId="1736DE46">
        <w:tblPrEx>
          <w:tblCellMar>
            <w:top w:w="0" w:type="dxa"/>
            <w:left w:w="0" w:type="dxa"/>
            <w:bottom w:w="0" w:type="dxa"/>
            <w:right w:w="0" w:type="dxa"/>
          </w:tblCellMar>
        </w:tblPrEx>
        <w:tc>
          <w:tcPr>
            <w:tcW w:w="1084"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53BC817">
            <w:pPr>
              <w:jc w:val="center"/>
              <w:rPr>
                <w:b/>
              </w:rPr>
            </w:pP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7EB4F95">
            <w:pPr>
              <w:jc w:val="center"/>
              <w:rPr>
                <w:b/>
              </w:rPr>
            </w:pPr>
            <w:r>
              <w:rPr>
                <w:b/>
              </w:rPr>
              <w:t>借方</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7EAF624">
            <w:pPr>
              <w:jc w:val="center"/>
              <w:rPr>
                <w:b/>
              </w:rPr>
            </w:pPr>
            <w:r>
              <w:rPr>
                <w:b/>
              </w:rPr>
              <w:t>贷方</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6FFB051">
            <w:pPr>
              <w:jc w:val="center"/>
              <w:rPr>
                <w:b/>
              </w:rPr>
            </w:pPr>
            <w:r>
              <w:rPr>
                <w:b/>
              </w:rPr>
              <w:t>借方</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314CA5D">
            <w:pPr>
              <w:jc w:val="center"/>
              <w:rPr>
                <w:b/>
              </w:rPr>
            </w:pPr>
            <w:r>
              <w:rPr>
                <w:b/>
              </w:rPr>
              <w:t>贷方</w:t>
            </w:r>
          </w:p>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DA1307E">
            <w:pPr>
              <w:jc w:val="center"/>
              <w:rPr>
                <w:b/>
              </w:rPr>
            </w:pPr>
            <w:r>
              <w:rPr>
                <w:b/>
              </w:rPr>
              <w:t>借方</w:t>
            </w:r>
          </w:p>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5B929FF">
            <w:pPr>
              <w:jc w:val="center"/>
              <w:rPr>
                <w:b/>
              </w:rPr>
            </w:pPr>
            <w:r>
              <w:rPr>
                <w:b/>
              </w:rPr>
              <w:t>贷方</w:t>
            </w:r>
          </w:p>
        </w:tc>
      </w:tr>
      <w:tr w14:paraId="4DA7C303">
        <w:tblPrEx>
          <w:tblCellMar>
            <w:top w:w="0" w:type="dxa"/>
            <w:left w:w="0" w:type="dxa"/>
            <w:bottom w:w="0" w:type="dxa"/>
            <w:right w:w="0" w:type="dxa"/>
          </w:tblCellMar>
        </w:tblPrEx>
        <w:tc>
          <w:tcPr>
            <w:tcW w:w="10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BE32B90">
            <w:r>
              <w:t>库存现金</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D627127"/>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2F5FE8F"/>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1CF7AA1"/>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7168B22"/>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84BD85D"/>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F8F986D"/>
        </w:tc>
      </w:tr>
      <w:tr w14:paraId="607CF073">
        <w:tblPrEx>
          <w:tblCellMar>
            <w:top w:w="0" w:type="dxa"/>
            <w:left w:w="0" w:type="dxa"/>
            <w:bottom w:w="0" w:type="dxa"/>
            <w:right w:w="0" w:type="dxa"/>
          </w:tblCellMar>
        </w:tblPrEx>
        <w:tc>
          <w:tcPr>
            <w:tcW w:w="10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4E0B0E0">
            <w:r>
              <w:t>银行存款</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1590C96"/>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EA002A4"/>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88FA349"/>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CF9FE8F"/>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6087D00"/>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E43FA9D"/>
        </w:tc>
      </w:tr>
      <w:tr w14:paraId="3D3F339C">
        <w:tc>
          <w:tcPr>
            <w:tcW w:w="10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0A5ADDC">
            <w:r>
              <w:t>原材料</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95EADAA"/>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195C81C"/>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9793C34"/>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7CF4115"/>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871B054"/>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16ED97B"/>
        </w:tc>
      </w:tr>
      <w:tr w14:paraId="2C6BA64C">
        <w:tblPrEx>
          <w:tblCellMar>
            <w:top w:w="0" w:type="dxa"/>
            <w:left w:w="0" w:type="dxa"/>
            <w:bottom w:w="0" w:type="dxa"/>
            <w:right w:w="0" w:type="dxa"/>
          </w:tblCellMar>
        </w:tblPrEx>
        <w:tc>
          <w:tcPr>
            <w:tcW w:w="10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7DBB1D8">
            <w:r>
              <w:t>短期借款</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688BED7"/>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FA6210D"/>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6C2986B"/>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46E292F"/>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B86B530"/>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251D258"/>
        </w:tc>
      </w:tr>
      <w:tr w14:paraId="64AABA69">
        <w:tblPrEx>
          <w:tblCellMar>
            <w:top w:w="0" w:type="dxa"/>
            <w:left w:w="0" w:type="dxa"/>
            <w:bottom w:w="0" w:type="dxa"/>
            <w:right w:w="0" w:type="dxa"/>
          </w:tblCellMar>
        </w:tblPrEx>
        <w:tc>
          <w:tcPr>
            <w:tcW w:w="10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509302D">
            <w:r>
              <w:t>应付账款</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399E9FB"/>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BB45179"/>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09F4E7F"/>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0A918DE"/>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6D80B27"/>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9168934"/>
        </w:tc>
      </w:tr>
      <w:tr w14:paraId="7B67DB04">
        <w:tblPrEx>
          <w:tblCellMar>
            <w:top w:w="0" w:type="dxa"/>
            <w:left w:w="0" w:type="dxa"/>
            <w:bottom w:w="0" w:type="dxa"/>
            <w:right w:w="0" w:type="dxa"/>
          </w:tblCellMar>
        </w:tblPrEx>
        <w:tc>
          <w:tcPr>
            <w:tcW w:w="10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07CE8E1">
            <w:r>
              <w:t>应付股利</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0578BE3"/>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E3D3AF8"/>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168B64A"/>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4A9D6F6"/>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9E66D7E"/>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2D7BF08"/>
        </w:tc>
      </w:tr>
      <w:tr w14:paraId="23D8508E">
        <w:tblPrEx>
          <w:tblCellMar>
            <w:top w:w="0" w:type="dxa"/>
            <w:left w:w="0" w:type="dxa"/>
            <w:bottom w:w="0" w:type="dxa"/>
            <w:right w:w="0" w:type="dxa"/>
          </w:tblCellMar>
        </w:tblPrEx>
        <w:tc>
          <w:tcPr>
            <w:tcW w:w="10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380E686">
            <w:r>
              <w:t>实收资本</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49140B3"/>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18E27A6"/>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0EB2451"/>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AEB064E"/>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853438D"/>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4F6B809"/>
        </w:tc>
      </w:tr>
      <w:tr w14:paraId="0AF729A8">
        <w:tblPrEx>
          <w:tblCellMar>
            <w:top w:w="0" w:type="dxa"/>
            <w:left w:w="0" w:type="dxa"/>
            <w:bottom w:w="0" w:type="dxa"/>
            <w:right w:w="0" w:type="dxa"/>
          </w:tblCellMar>
        </w:tblPrEx>
        <w:tc>
          <w:tcPr>
            <w:tcW w:w="10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A5804C3">
            <w:r>
              <w:t>盈余公积</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2EAA940"/>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3958C30"/>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0AD49CB"/>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CFC0595"/>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AB7A363"/>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5D70030"/>
        </w:tc>
      </w:tr>
      <w:tr w14:paraId="3DFC6350">
        <w:tblPrEx>
          <w:tblCellMar>
            <w:top w:w="0" w:type="dxa"/>
            <w:left w:w="0" w:type="dxa"/>
            <w:bottom w:w="0" w:type="dxa"/>
            <w:right w:w="0" w:type="dxa"/>
          </w:tblCellMar>
        </w:tblPrEx>
        <w:tc>
          <w:tcPr>
            <w:tcW w:w="10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7E3B6CF">
            <w:r>
              <w:t>合计</w:t>
            </w:r>
          </w:p>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19A9106"/>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C9FB79A"/>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20994A1"/>
        </w:tc>
        <w:tc>
          <w:tcPr>
            <w:tcW w:w="65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6D6E31E"/>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A47183D"/>
        </w:tc>
        <w:tc>
          <w:tcPr>
            <w:tcW w:w="65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EAEE1B7"/>
        </w:tc>
      </w:tr>
    </w:tbl>
    <w:p w14:paraId="5402E2E8">
      <w:pPr>
        <w:spacing w:line="240" w:lineRule="auto"/>
        <w:jc w:val="center"/>
      </w:pPr>
    </w:p>
    <w:p w14:paraId="5CA9E9DC">
      <w:pPr>
        <w:pStyle w:val="11"/>
      </w:pPr>
      <w:r>
        <w:t>步骤四：将表5.1所有科目的期初余额过入试算平衡表。同时，将T型账户中计算的各账户的本期发生额和期末余额过入试算平衡表。总分类账户发生额及余额试算平衡表最终结果如下：</w:t>
      </w:r>
    </w:p>
    <w:p w14:paraId="07C0F8F5">
      <w:pPr>
        <w:pStyle w:val="19"/>
      </w:pPr>
      <w:r>
        <w:t>表5.3总分类账户发生额及余额试算平衡表</w:t>
      </w:r>
    </w:p>
    <w:p w14:paraId="3AE32A3A">
      <w:pPr>
        <w:spacing w:line="240" w:lineRule="auto"/>
        <w:jc w:val="center"/>
      </w:pPr>
      <w:r>
        <w:rPr>
          <w:rFonts w:hint="eastAsia"/>
          <w:sz w:val="24"/>
          <w:szCs w:val="32"/>
          <w:lang w:val="en-US" w:eastAsia="zh-CN"/>
        </w:rPr>
        <w:t xml:space="preserve">                            </w:t>
      </w:r>
      <w:r>
        <w:rPr>
          <w:rFonts w:hint="eastAsia"/>
          <w:sz w:val="24"/>
          <w:szCs w:val="32"/>
        </w:rPr>
        <w:t>2025年4月30日</w:t>
      </w:r>
      <w:r>
        <w:rPr>
          <w:rFonts w:hint="eastAsia"/>
          <w:sz w:val="24"/>
          <w:szCs w:val="32"/>
          <w:lang w:val="en-US" w:eastAsia="zh-CN"/>
        </w:rPr>
        <w:t xml:space="preserve">                </w:t>
      </w:r>
      <w:r>
        <w:rPr>
          <w:rFonts w:hint="eastAsia"/>
          <w:sz w:val="24"/>
          <w:szCs w:val="32"/>
        </w:rPr>
        <w:t>单位：元</w:t>
      </w:r>
    </w:p>
    <w:tbl>
      <w:tblPr>
        <w:tblStyle w:val="17"/>
        <w:tblW w:w="5000" w:type="pct"/>
        <w:tblInd w:w="0" w:type="dxa"/>
        <w:tblLayout w:type="autofit"/>
        <w:tblCellMar>
          <w:top w:w="0" w:type="dxa"/>
          <w:left w:w="0" w:type="dxa"/>
          <w:bottom w:w="0" w:type="dxa"/>
          <w:right w:w="0" w:type="dxa"/>
        </w:tblCellMar>
      </w:tblPr>
      <w:tblGrid>
        <w:gridCol w:w="1459"/>
        <w:gridCol w:w="1176"/>
        <w:gridCol w:w="1178"/>
        <w:gridCol w:w="1176"/>
        <w:gridCol w:w="1178"/>
        <w:gridCol w:w="1176"/>
        <w:gridCol w:w="1179"/>
      </w:tblGrid>
      <w:tr w14:paraId="1C5FA0AD">
        <w:tblPrEx>
          <w:tblCellMar>
            <w:top w:w="0" w:type="dxa"/>
            <w:left w:w="0" w:type="dxa"/>
            <w:bottom w:w="0" w:type="dxa"/>
            <w:right w:w="0" w:type="dxa"/>
          </w:tblCellMar>
        </w:tblPrEx>
        <w:tc>
          <w:tcPr>
            <w:tcW w:w="856"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3FD245D">
            <w:pPr>
              <w:jc w:val="center"/>
              <w:rPr>
                <w:b/>
              </w:rPr>
            </w:pPr>
            <w:r>
              <w:rPr>
                <w:b/>
              </w:rPr>
              <w:t>账户名称</w:t>
            </w:r>
          </w:p>
        </w:tc>
        <w:tc>
          <w:tcPr>
            <w:tcW w:w="1381"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C9F4510">
            <w:pPr>
              <w:jc w:val="center"/>
              <w:rPr>
                <w:b/>
              </w:rPr>
            </w:pPr>
            <w:r>
              <w:rPr>
                <w:b/>
              </w:rPr>
              <w:t>期初余额</w:t>
            </w:r>
          </w:p>
        </w:tc>
        <w:tc>
          <w:tcPr>
            <w:tcW w:w="1381"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CE064B5">
            <w:pPr>
              <w:jc w:val="center"/>
              <w:rPr>
                <w:b/>
              </w:rPr>
            </w:pPr>
            <w:r>
              <w:rPr>
                <w:b/>
              </w:rPr>
              <w:t>本期发生额</w:t>
            </w:r>
          </w:p>
        </w:tc>
        <w:tc>
          <w:tcPr>
            <w:tcW w:w="1381"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970EA0D">
            <w:pPr>
              <w:jc w:val="center"/>
              <w:rPr>
                <w:b/>
              </w:rPr>
            </w:pPr>
            <w:r>
              <w:rPr>
                <w:b/>
              </w:rPr>
              <w:t>期末余额</w:t>
            </w:r>
          </w:p>
        </w:tc>
      </w:tr>
      <w:tr w14:paraId="427EDEB7">
        <w:tblPrEx>
          <w:tblCellMar>
            <w:top w:w="0" w:type="dxa"/>
            <w:left w:w="0" w:type="dxa"/>
            <w:bottom w:w="0" w:type="dxa"/>
            <w:right w:w="0" w:type="dxa"/>
          </w:tblCellMar>
        </w:tblPrEx>
        <w:tc>
          <w:tcPr>
            <w:tcW w:w="856"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39AE1F6">
            <w:pPr>
              <w:jc w:val="center"/>
              <w:rPr>
                <w:b/>
              </w:rPr>
            </w:pP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052DA8E">
            <w:pPr>
              <w:jc w:val="center"/>
              <w:rPr>
                <w:b/>
              </w:rPr>
            </w:pPr>
            <w:r>
              <w:rPr>
                <w:b/>
              </w:rPr>
              <w:t>借方</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7846AC2">
            <w:pPr>
              <w:jc w:val="center"/>
              <w:rPr>
                <w:b/>
              </w:rPr>
            </w:pPr>
            <w:r>
              <w:rPr>
                <w:b/>
              </w:rPr>
              <w:t>贷方</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A67F7A2">
            <w:pPr>
              <w:jc w:val="center"/>
              <w:rPr>
                <w:b/>
              </w:rPr>
            </w:pPr>
            <w:r>
              <w:rPr>
                <w:b/>
              </w:rPr>
              <w:t>借方</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0C9A18F">
            <w:pPr>
              <w:jc w:val="center"/>
              <w:rPr>
                <w:b/>
              </w:rPr>
            </w:pPr>
            <w:r>
              <w:rPr>
                <w:b/>
              </w:rPr>
              <w:t>贷方</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D901F35">
            <w:pPr>
              <w:jc w:val="center"/>
              <w:rPr>
                <w:b/>
              </w:rPr>
            </w:pPr>
            <w:r>
              <w:rPr>
                <w:b/>
              </w:rPr>
              <w:t>借方</w:t>
            </w:r>
          </w:p>
        </w:tc>
        <w:tc>
          <w:tcPr>
            <w:tcW w:w="69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83DD540">
            <w:pPr>
              <w:jc w:val="center"/>
              <w:rPr>
                <w:b/>
              </w:rPr>
            </w:pPr>
            <w:r>
              <w:rPr>
                <w:b/>
              </w:rPr>
              <w:t>贷方</w:t>
            </w:r>
          </w:p>
        </w:tc>
      </w:tr>
      <w:tr w14:paraId="047436C7">
        <w:tblPrEx>
          <w:tblCellMar>
            <w:top w:w="0" w:type="dxa"/>
            <w:left w:w="0" w:type="dxa"/>
            <w:bottom w:w="0" w:type="dxa"/>
            <w:right w:w="0" w:type="dxa"/>
          </w:tblCellMar>
        </w:tblPrEx>
        <w:tc>
          <w:tcPr>
            <w:tcW w:w="85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8D61D45">
            <w:r>
              <w:t>库存现金</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18CBF37">
            <w:r>
              <w:t>90000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515466D"/>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F6B78A6">
            <w:r>
              <w:t>2000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984D169"/>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765EB1F">
            <w:r>
              <w:t>92000</w:t>
            </w:r>
          </w:p>
        </w:tc>
        <w:tc>
          <w:tcPr>
            <w:tcW w:w="69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46DEFCA"/>
        </w:tc>
      </w:tr>
      <w:tr w14:paraId="7396724C">
        <w:tblPrEx>
          <w:tblCellMar>
            <w:top w:w="0" w:type="dxa"/>
            <w:left w:w="0" w:type="dxa"/>
            <w:bottom w:w="0" w:type="dxa"/>
            <w:right w:w="0" w:type="dxa"/>
          </w:tblCellMar>
        </w:tblPrEx>
        <w:tc>
          <w:tcPr>
            <w:tcW w:w="85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29BC66F">
            <w:r>
              <w:t>银行存款</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4AFF8DB">
            <w:r>
              <w:t>300000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2C152AB"/>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55E6C04">
            <w:r>
              <w:t>100000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160534C">
            <w:r>
              <w:t>112000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8FEB5BB">
            <w:r>
              <w:t>288000</w:t>
            </w:r>
          </w:p>
        </w:tc>
        <w:tc>
          <w:tcPr>
            <w:tcW w:w="69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A05FE48"/>
        </w:tc>
      </w:tr>
      <w:tr w14:paraId="7282C282">
        <w:tblPrEx>
          <w:tblCellMar>
            <w:top w:w="0" w:type="dxa"/>
            <w:left w:w="0" w:type="dxa"/>
            <w:bottom w:w="0" w:type="dxa"/>
            <w:right w:w="0" w:type="dxa"/>
          </w:tblCellMar>
        </w:tblPrEx>
        <w:tc>
          <w:tcPr>
            <w:tcW w:w="85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08F6A0D">
            <w:r>
              <w:t>原材料</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AFD1DAF">
            <w:r>
              <w:t>100000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27414BE"/>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E77CF36">
            <w:r>
              <w:t>20000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D61B95E"/>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A870A07">
            <w:r>
              <w:t>120000</w:t>
            </w:r>
          </w:p>
        </w:tc>
        <w:tc>
          <w:tcPr>
            <w:tcW w:w="69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6775AD3"/>
        </w:tc>
      </w:tr>
      <w:tr w14:paraId="41FF574B">
        <w:tblPrEx>
          <w:tblCellMar>
            <w:top w:w="0" w:type="dxa"/>
            <w:left w:w="0" w:type="dxa"/>
            <w:bottom w:w="0" w:type="dxa"/>
            <w:right w:w="0" w:type="dxa"/>
          </w:tblCellMar>
        </w:tblPrEx>
        <w:tc>
          <w:tcPr>
            <w:tcW w:w="85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27B529A">
            <w:r>
              <w:t>短期借款</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5E7B3EA"/>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9C28D7F">
            <w:r>
              <w:t>50000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82801D4"/>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B51F02B">
            <w:r>
              <w:t>20000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377FDCE"/>
        </w:tc>
        <w:tc>
          <w:tcPr>
            <w:tcW w:w="69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2C3E569">
            <w:r>
              <w:t>70000</w:t>
            </w:r>
          </w:p>
        </w:tc>
      </w:tr>
      <w:tr w14:paraId="39593EE2">
        <w:tblPrEx>
          <w:tblCellMar>
            <w:top w:w="0" w:type="dxa"/>
            <w:left w:w="0" w:type="dxa"/>
            <w:bottom w:w="0" w:type="dxa"/>
            <w:right w:w="0" w:type="dxa"/>
          </w:tblCellMar>
        </w:tblPrEx>
        <w:tc>
          <w:tcPr>
            <w:tcW w:w="85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E94AA6A">
            <w:r>
              <w:t>应付账款</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4707EE0"/>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C8BE5EA">
            <w:r>
              <w:t>40000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5AD72A4">
            <w:r>
              <w:t>320000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D46415D">
            <w:r>
              <w:t>20000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22048EC"/>
        </w:tc>
        <w:tc>
          <w:tcPr>
            <w:tcW w:w="69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0BE0BFD">
            <w:r>
              <w:t>30000</w:t>
            </w:r>
          </w:p>
        </w:tc>
      </w:tr>
      <w:tr w14:paraId="4A7992D1">
        <w:tblPrEx>
          <w:tblCellMar>
            <w:top w:w="0" w:type="dxa"/>
            <w:left w:w="0" w:type="dxa"/>
            <w:bottom w:w="0" w:type="dxa"/>
            <w:right w:w="0" w:type="dxa"/>
          </w:tblCellMar>
        </w:tblPrEx>
        <w:tc>
          <w:tcPr>
            <w:tcW w:w="85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BCE640D">
            <w:r>
              <w:t>应付股利</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B5B5DE0"/>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7B07D0B"/>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BF665B6"/>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8776AEC">
            <w:r>
              <w:t>10000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C5BFD36"/>
        </w:tc>
        <w:tc>
          <w:tcPr>
            <w:tcW w:w="69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21CDC49">
            <w:r>
              <w:t>10000</w:t>
            </w:r>
          </w:p>
        </w:tc>
      </w:tr>
      <w:tr w14:paraId="30318D73">
        <w:tblPrEx>
          <w:tblCellMar>
            <w:top w:w="0" w:type="dxa"/>
            <w:left w:w="0" w:type="dxa"/>
            <w:bottom w:w="0" w:type="dxa"/>
            <w:right w:w="0" w:type="dxa"/>
          </w:tblCellMar>
        </w:tblPrEx>
        <w:tc>
          <w:tcPr>
            <w:tcW w:w="85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A42F5B9">
            <w:r>
              <w:t>实收资本</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E794003"/>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5A030AA">
            <w:r>
              <w:t>300000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2B3268B">
            <w:r>
              <w:t>100000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A74D575">
            <w:r>
              <w:t>150000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36A6D77"/>
        </w:tc>
        <w:tc>
          <w:tcPr>
            <w:tcW w:w="69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1217F48">
            <w:r>
              <w:t>350000</w:t>
            </w:r>
          </w:p>
        </w:tc>
      </w:tr>
      <w:tr w14:paraId="1633B9E5">
        <w:tblPrEx>
          <w:tblCellMar>
            <w:top w:w="0" w:type="dxa"/>
            <w:left w:w="0" w:type="dxa"/>
            <w:bottom w:w="0" w:type="dxa"/>
            <w:right w:w="0" w:type="dxa"/>
          </w:tblCellMar>
        </w:tblPrEx>
        <w:tc>
          <w:tcPr>
            <w:tcW w:w="85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EBC3EAB">
            <w:r>
              <w:t>盈余公积</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7844E16"/>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841FC28">
            <w:r>
              <w:t>100000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A3FB540">
            <w:r>
              <w:t>60000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030C7FF"/>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7A2A3C9"/>
        </w:tc>
        <w:tc>
          <w:tcPr>
            <w:tcW w:w="69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2354CC7">
            <w:r>
              <w:t>40000</w:t>
            </w:r>
          </w:p>
        </w:tc>
      </w:tr>
      <w:tr w14:paraId="6CCF3CEA">
        <w:tblPrEx>
          <w:tblCellMar>
            <w:top w:w="0" w:type="dxa"/>
            <w:left w:w="0" w:type="dxa"/>
            <w:bottom w:w="0" w:type="dxa"/>
            <w:right w:w="0" w:type="dxa"/>
          </w:tblCellMar>
        </w:tblPrEx>
        <w:tc>
          <w:tcPr>
            <w:tcW w:w="85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8A6A6AD">
            <w:r>
              <w:t>合计</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B45339C">
            <w:r>
              <w:t>490000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31B513B">
            <w:r>
              <w:t>490000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ED26CD8">
            <w:r>
              <w:t>312000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6D4D535">
            <w:r>
              <w:t>312000</w:t>
            </w:r>
          </w:p>
        </w:tc>
        <w:tc>
          <w:tcPr>
            <w:tcW w:w="69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EE2E275">
            <w:r>
              <w:t>500000</w:t>
            </w:r>
          </w:p>
        </w:tc>
        <w:tc>
          <w:tcPr>
            <w:tcW w:w="69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CA71E32">
            <w:r>
              <w:t>500000</w:t>
            </w:r>
          </w:p>
        </w:tc>
      </w:tr>
    </w:tbl>
    <w:p w14:paraId="0F76BBC4">
      <w:pPr>
        <w:spacing w:line="240" w:lineRule="auto"/>
        <w:jc w:val="center"/>
      </w:pPr>
    </w:p>
    <w:p w14:paraId="75388623">
      <w:pPr>
        <w:pStyle w:val="4"/>
        <w:numPr>
          <w:ilvl w:val="0"/>
          <w:numId w:val="1"/>
        </w:numPr>
        <w:topLinePunct w:val="0"/>
        <w:ind w:left="0" w:leftChars="0" w:firstLine="0" w:firstLineChars="0"/>
        <w:rPr>
          <w:rFonts w:hint="eastAsia" w:ascii="黑体" w:hAnsi="黑体" w:eastAsia="黑体" w:cs="黑体"/>
          <w:b w:val="0"/>
        </w:rPr>
      </w:pPr>
      <w:r>
        <w:t>小结</w:t>
      </w:r>
    </w:p>
    <w:p w14:paraId="02BE2BFF">
      <w:pPr>
        <w:pStyle w:val="11"/>
        <w:numPr>
          <w:ilvl w:val="0"/>
          <w:numId w:val="6"/>
        </w:numPr>
        <w:topLinePunct w:val="0"/>
        <w:ind w:left="0" w:leftChars="0" w:firstLine="480" w:firstLineChars="0"/>
        <w:rPr>
          <w:rFonts w:hint="eastAsia" w:ascii="宋体" w:hAnsi="宋体" w:eastAsia="宋体" w:cs="宋体"/>
          <w:b w:val="0"/>
        </w:rPr>
      </w:pPr>
      <w:r>
        <w:t>必须保证所有账户的余额均已记入试算平衡表。</w:t>
      </w:r>
    </w:p>
    <w:p w14:paraId="60F8E97F">
      <w:pPr>
        <w:pStyle w:val="11"/>
        <w:numPr>
          <w:ilvl w:val="0"/>
          <w:numId w:val="6"/>
        </w:numPr>
        <w:topLinePunct w:val="0"/>
        <w:ind w:left="0" w:leftChars="0" w:firstLine="480" w:firstLineChars="0"/>
        <w:rPr>
          <w:rFonts w:hint="eastAsia" w:ascii="宋体" w:hAnsi="宋体" w:eastAsia="宋体" w:cs="宋体"/>
          <w:b w:val="0"/>
        </w:rPr>
      </w:pPr>
      <w:r>
        <w:t>如果试算平衡表借贷不相等，肯定账户记录有错误，应认真查找，直到实现平衡为止。</w:t>
      </w:r>
    </w:p>
    <w:p w14:paraId="7FB8115C">
      <w:pPr>
        <w:pStyle w:val="11"/>
        <w:numPr>
          <w:ilvl w:val="0"/>
          <w:numId w:val="6"/>
        </w:numPr>
        <w:topLinePunct w:val="0"/>
        <w:ind w:left="0" w:leftChars="0" w:firstLine="480" w:firstLineChars="0"/>
        <w:rPr>
          <w:rFonts w:hint="eastAsia" w:ascii="宋体" w:hAnsi="宋体" w:eastAsia="宋体" w:cs="宋体"/>
          <w:b w:val="0"/>
        </w:rPr>
      </w:pPr>
      <w:r>
        <w:t>即便实现了试算平衡，也不能说明账户记录绝对正确，因为有些错误并不会影响借贷双方的平衡关系。例如：</w:t>
      </w:r>
    </w:p>
    <w:p w14:paraId="322983E1">
      <w:pPr>
        <w:pStyle w:val="11"/>
        <w:numPr>
          <w:ilvl w:val="0"/>
          <w:numId w:val="7"/>
        </w:numPr>
        <w:ind w:left="0" w:leftChars="0" w:firstLine="480" w:firstLineChars="0"/>
        <w:rPr>
          <w:rFonts w:hint="eastAsia" w:ascii="宋体" w:hAnsi="宋体" w:eastAsia="宋体" w:cs="宋体"/>
          <w:b w:val="0"/>
        </w:rPr>
      </w:pPr>
      <w:r>
        <w:t>漏记某项经济业务，将使本期借贷双方的发生额发生等额减少，借贷仍然平衡；</w:t>
      </w:r>
    </w:p>
    <w:p w14:paraId="147B7DCB">
      <w:pPr>
        <w:pStyle w:val="11"/>
        <w:numPr>
          <w:ilvl w:val="0"/>
          <w:numId w:val="7"/>
        </w:numPr>
        <w:ind w:left="0" w:leftChars="0" w:firstLine="480" w:firstLineChars="0"/>
        <w:rPr>
          <w:rFonts w:hint="eastAsia" w:ascii="宋体" w:hAnsi="宋体" w:eastAsia="宋体" w:cs="宋体"/>
          <w:b w:val="0"/>
        </w:rPr>
      </w:pPr>
      <w:r>
        <w:t>重记某项经济业务，将使本期借贷双方的发生额发生等额虚增，借贷仍然平衡；</w:t>
      </w:r>
    </w:p>
    <w:p w14:paraId="09B8E824">
      <w:pPr>
        <w:pStyle w:val="11"/>
        <w:numPr>
          <w:ilvl w:val="0"/>
          <w:numId w:val="7"/>
        </w:numPr>
        <w:ind w:left="0" w:leftChars="0" w:firstLine="480" w:firstLineChars="0"/>
        <w:rPr>
          <w:rFonts w:hint="eastAsia" w:ascii="宋体" w:hAnsi="宋体" w:eastAsia="宋体" w:cs="宋体"/>
          <w:b w:val="0"/>
        </w:rPr>
      </w:pPr>
      <w:r>
        <w:t>某项经济业务记错有关账户，借贷仍然平衡；</w:t>
      </w:r>
    </w:p>
    <w:p w14:paraId="4D888BC1">
      <w:pPr>
        <w:pStyle w:val="11"/>
        <w:numPr>
          <w:ilvl w:val="0"/>
          <w:numId w:val="7"/>
        </w:numPr>
        <w:ind w:left="0" w:leftChars="0" w:firstLine="480" w:firstLineChars="0"/>
        <w:rPr>
          <w:rFonts w:hint="eastAsia" w:ascii="宋体" w:hAnsi="宋体" w:eastAsia="宋体" w:cs="宋体"/>
          <w:b w:val="0"/>
        </w:rPr>
      </w:pPr>
      <w:r>
        <w:t>某项经济业务在账户记录中，颠倒了记账方向，借贷仍然平衡；</w:t>
      </w:r>
    </w:p>
    <w:p w14:paraId="2E676CD5">
      <w:pPr>
        <w:pStyle w:val="11"/>
        <w:numPr>
          <w:ilvl w:val="0"/>
          <w:numId w:val="7"/>
        </w:numPr>
        <w:ind w:left="0" w:leftChars="0" w:firstLine="480" w:firstLineChars="0"/>
        <w:rPr>
          <w:rFonts w:hint="eastAsia" w:ascii="宋体" w:hAnsi="宋体" w:eastAsia="宋体" w:cs="宋体"/>
          <w:b w:val="0"/>
        </w:rPr>
      </w:pPr>
      <w:r>
        <w:t>借方或贷方发生额中，偶然发生多记少记并相互抵消，借贷仍然平衡等。</w:t>
      </w:r>
    </w:p>
    <w:p w14:paraId="515E35BD">
      <w:pPr>
        <w:rPr>
          <w:rFonts w:hint="eastAsia"/>
        </w:rPr>
      </w:pPr>
      <w:r>
        <w:rPr>
          <w:rFonts w:hint="eastAsia"/>
        </w:rPr>
        <w:br w:type="page"/>
      </w:r>
    </w:p>
    <w:p w14:paraId="53BA71F2">
      <w:pPr>
        <w:pStyle w:val="2"/>
        <w:jc w:val="center"/>
      </w:pPr>
      <w:r>
        <w:t>项目五</w:t>
      </w:r>
      <w:r>
        <w:rPr>
          <w:rFonts w:hint="eastAsia"/>
          <w:lang w:val="en-US" w:eastAsia="zh-CN"/>
        </w:rPr>
        <w:t xml:space="preserve">   </w:t>
      </w:r>
      <w:r>
        <w:t>各类账表的编制</w:t>
      </w:r>
    </w:p>
    <w:p w14:paraId="18729F6F">
      <w:pPr>
        <w:pStyle w:val="3"/>
        <w:jc w:val="center"/>
      </w:pPr>
      <w:r>
        <w:t>任务二</w:t>
      </w:r>
      <w:r>
        <w:rPr>
          <w:rFonts w:hint="eastAsia"/>
          <w:lang w:val="en-US" w:eastAsia="zh-CN"/>
        </w:rPr>
        <w:t xml:space="preserve">   </w:t>
      </w:r>
      <w:r>
        <w:t>科目汇总表编制训练</w:t>
      </w:r>
      <w:r>
        <mc:AlternateContent>
          <mc:Choice Requires="wps">
            <w:drawing>
              <wp:anchor distT="0" distB="0" distL="114300" distR="114300" simplePos="0" relativeHeight="251661312" behindDoc="1" locked="0" layoutInCell="1" allowOverlap="1">
                <wp:simplePos x="0" y="0"/>
                <wp:positionH relativeFrom="page">
                  <wp:posOffset>1096010</wp:posOffset>
                </wp:positionH>
                <wp:positionV relativeFrom="paragraph">
                  <wp:posOffset>237490</wp:posOffset>
                </wp:positionV>
                <wp:extent cx="5435600" cy="1998980"/>
                <wp:effectExtent l="4445" t="4445" r="8255" b="15875"/>
                <wp:wrapTopAndBottom/>
                <wp:docPr id="17" name="文本框 12"/>
                <wp:cNvGraphicFramePr/>
                <a:graphic xmlns:a="http://schemas.openxmlformats.org/drawingml/2006/main">
                  <a:graphicData uri="http://schemas.microsoft.com/office/word/2010/wordprocessingShape">
                    <wps:wsp>
                      <wps:cNvSpPr txBox="1"/>
                      <wps:spPr>
                        <a:xfrm>
                          <a:off x="0" y="0"/>
                          <a:ext cx="5435600" cy="1998980"/>
                        </a:xfrm>
                        <a:prstGeom prst="rect">
                          <a:avLst/>
                        </a:prstGeom>
                        <a:noFill/>
                        <a:ln w="6096" cap="flat" cmpd="sng">
                          <a:solidFill>
                            <a:srgbClr val="000000"/>
                          </a:solidFill>
                          <a:prstDash val="solid"/>
                          <a:miter/>
                          <a:headEnd type="none" w="med" len="med"/>
                          <a:tailEnd type="none" w="med" len="med"/>
                        </a:ln>
                      </wps:spPr>
                      <wps:txbx>
                        <w:txbxContent>
                          <w:p w14:paraId="37509BBB">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教学目的：</w:t>
                            </w:r>
                            <w:r>
                              <w:rPr>
                                <w:rFonts w:hint="eastAsia" w:ascii="黑体" w:hAnsi="黑体" w:eastAsia="黑体" w:cs="黑体"/>
                                <w:b w:val="0"/>
                                <w:bCs/>
                                <w:sz w:val="24"/>
                                <w:szCs w:val="24"/>
                                <w:lang w:val="zh-CN" w:eastAsia="zh-CN" w:bidi="zh-CN"/>
                              </w:rPr>
                              <w:t>掌握</w:t>
                            </w:r>
                            <w:r>
                              <w:rPr>
                                <w:rFonts w:hint="eastAsia" w:ascii="黑体" w:hAnsi="黑体" w:eastAsia="黑体" w:cs="黑体"/>
                                <w:b w:val="0"/>
                                <w:bCs/>
                                <w:sz w:val="24"/>
                                <w:szCs w:val="24"/>
                                <w:lang w:val="en-US" w:eastAsia="zh-CN" w:bidi="zh-CN"/>
                              </w:rPr>
                              <w:t>科目汇总表账务处理程序的基本理论和实务操作</w:t>
                            </w:r>
                            <w:r>
                              <w:rPr>
                                <w:rFonts w:hint="eastAsia" w:ascii="黑体" w:hAnsi="黑体" w:eastAsia="黑体" w:cs="黑体"/>
                                <w:b w:val="0"/>
                                <w:bCs/>
                                <w:sz w:val="24"/>
                                <w:szCs w:val="24"/>
                                <w:lang w:val="zh-CN" w:eastAsia="zh-CN" w:bidi="zh-CN"/>
                              </w:rPr>
                              <w:t>。</w:t>
                            </w:r>
                          </w:p>
                          <w:p w14:paraId="4AABA18A">
                            <w:pPr>
                              <w:widowControl w:val="0"/>
                              <w:autoSpaceDE w:val="0"/>
                              <w:autoSpaceDN w:val="0"/>
                              <w:spacing w:before="0" w:after="0" w:line="360" w:lineRule="auto"/>
                              <w:ind w:left="80" w:right="74"/>
                              <w:jc w:val="left"/>
                              <w:rPr>
                                <w:rFonts w:hint="default" w:ascii="黑体" w:hAnsi="黑体" w:eastAsia="黑体" w:cs="黑体"/>
                                <w:b w:val="0"/>
                                <w:bCs/>
                                <w:sz w:val="24"/>
                                <w:szCs w:val="24"/>
                                <w:lang w:val="en-US" w:eastAsia="zh-CN" w:bidi="zh-CN"/>
                              </w:rPr>
                            </w:pPr>
                            <w:r>
                              <w:rPr>
                                <w:rFonts w:hint="eastAsia" w:ascii="黑体" w:hAnsi="黑体" w:eastAsia="黑体" w:cs="黑体"/>
                                <w:b/>
                                <w:sz w:val="24"/>
                                <w:szCs w:val="24"/>
                                <w:lang w:val="zh-CN" w:eastAsia="zh-CN" w:bidi="zh-CN"/>
                              </w:rPr>
                              <w:t>教学重点：</w:t>
                            </w:r>
                            <w:r>
                              <w:rPr>
                                <w:rFonts w:hint="eastAsia" w:ascii="黑体" w:hAnsi="黑体" w:eastAsia="黑体" w:cs="黑体"/>
                                <w:b w:val="0"/>
                                <w:bCs/>
                                <w:sz w:val="24"/>
                                <w:szCs w:val="24"/>
                                <w:lang w:val="en-US" w:eastAsia="zh-CN" w:bidi="zh-CN"/>
                              </w:rPr>
                              <w:t>科目汇总表账务处理程序具体操作流程、账务处理程序特点、科目汇总表账务处理程序下记账凭证、账簿的设置，科目汇总表的编制方法。</w:t>
                            </w:r>
                          </w:p>
                          <w:p w14:paraId="598C4976">
                            <w:pPr>
                              <w:autoSpaceDE w:val="0"/>
                              <w:autoSpaceDN w:val="0"/>
                              <w:spacing w:before="0" w:after="0" w:line="360" w:lineRule="auto"/>
                              <w:ind w:left="80" w:right="1449" w:firstLine="0"/>
                              <w:jc w:val="left"/>
                              <w:rPr>
                                <w:rFonts w:hint="eastAsia" w:ascii="黑体" w:hAnsi="黑体" w:eastAsia="黑体" w:cs="黑体"/>
                                <w:b/>
                                <w:kern w:val="0"/>
                                <w:sz w:val="24"/>
                                <w:szCs w:val="24"/>
                                <w:lang w:val="en-US" w:eastAsia="zh-CN" w:bidi="zh-CN"/>
                              </w:rPr>
                            </w:pPr>
                            <w:r>
                              <w:rPr>
                                <w:rFonts w:hint="eastAsia" w:ascii="黑体" w:hAnsi="黑体" w:eastAsia="黑体" w:cs="黑体"/>
                                <w:b/>
                                <w:kern w:val="0"/>
                                <w:sz w:val="24"/>
                                <w:szCs w:val="24"/>
                                <w:lang w:val="zh-CN" w:bidi="zh-CN"/>
                              </w:rPr>
                              <w:t>教学难点：</w:t>
                            </w:r>
                            <w:r>
                              <w:rPr>
                                <w:rFonts w:hint="eastAsia" w:ascii="黑体" w:hAnsi="黑体" w:eastAsia="黑体" w:cs="黑体"/>
                                <w:b w:val="0"/>
                                <w:bCs/>
                                <w:kern w:val="0"/>
                                <w:sz w:val="24"/>
                                <w:szCs w:val="24"/>
                                <w:lang w:val="en-US" w:eastAsia="zh-CN" w:bidi="zh-CN"/>
                              </w:rPr>
                              <w:t>科目汇总表案例实操及要点。</w:t>
                            </w:r>
                          </w:p>
                          <w:p w14:paraId="1DDAE023">
                            <w:pPr>
                              <w:widowControl w:val="0"/>
                              <w:autoSpaceDE w:val="0"/>
                              <w:autoSpaceDN w:val="0"/>
                              <w:spacing w:before="0" w:after="0" w:line="360" w:lineRule="auto"/>
                              <w:ind w:left="80" w:right="0"/>
                              <w:jc w:val="left"/>
                              <w:rPr>
                                <w:rFonts w:hint="eastAsia" w:ascii="黑体" w:hAnsi="黑体" w:eastAsia="黑体" w:cs="黑体"/>
                                <w:b/>
                                <w:sz w:val="15"/>
                                <w:szCs w:val="21"/>
                                <w:lang w:val="zh-CN" w:eastAsia="zh-CN" w:bidi="zh-CN"/>
                              </w:rPr>
                            </w:pPr>
                            <w:r>
                              <w:rPr>
                                <w:rFonts w:hint="eastAsia" w:ascii="黑体" w:hAnsi="黑体" w:eastAsia="黑体" w:cs="黑体"/>
                                <w:b/>
                                <w:sz w:val="24"/>
                                <w:szCs w:val="24"/>
                                <w:lang w:val="zh-CN" w:eastAsia="zh-CN" w:bidi="zh-CN"/>
                              </w:rPr>
                              <w:t>教学方法：</w:t>
                            </w:r>
                            <w:r>
                              <w:rPr>
                                <w:rFonts w:hint="eastAsia" w:ascii="黑体" w:hAnsi="黑体" w:eastAsia="黑体" w:cs="黑体"/>
                                <w:sz w:val="24"/>
                                <w:szCs w:val="24"/>
                                <w:lang w:val="zh-CN" w:eastAsia="zh-CN" w:bidi="zh-CN"/>
                              </w:rPr>
                              <w:t>讲授法、PPT演示、案例法、实训法</w:t>
                            </w:r>
                          </w:p>
                          <w:p w14:paraId="72AF45AD">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授课时数：</w:t>
                            </w:r>
                            <w:r>
                              <w:rPr>
                                <w:rFonts w:hint="eastAsia" w:ascii="黑体" w:hAnsi="黑体" w:eastAsia="黑体" w:cs="黑体"/>
                                <w:b w:val="0"/>
                                <w:bCs/>
                                <w:sz w:val="24"/>
                                <w:szCs w:val="24"/>
                                <w:lang w:val="zh-CN" w:eastAsia="zh-CN" w:bidi="zh-CN"/>
                              </w:rPr>
                              <w:t>2课时</w:t>
                            </w:r>
                          </w:p>
                        </w:txbxContent>
                      </wps:txbx>
                      <wps:bodyPr vert="horz" wrap="square" lIns="0" tIns="0" rIns="0" bIns="0" anchor="t" anchorCtr="0" upright="1">
                        <a:spAutoFit/>
                      </wps:bodyPr>
                    </wps:wsp>
                  </a:graphicData>
                </a:graphic>
              </wp:anchor>
            </w:drawing>
          </mc:Choice>
          <mc:Fallback>
            <w:pict>
              <v:shape id="文本框 12" o:spid="_x0000_s1026" o:spt="202" type="#_x0000_t202" style="position:absolute;left:0pt;margin-left:86.3pt;margin-top:18.7pt;height:157.4pt;width:428pt;mso-position-horizontal-relative:page;mso-wrap-distance-bottom:0pt;mso-wrap-distance-top:0pt;z-index:-251655168;mso-width-relative:page;mso-height-relative:page;" filled="f" stroked="t" coordsize="21600,21600" o:gfxdata="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hAEhiNoAAAALAQAADwAAAAAAAAABACAAAAAiAAAA&#10;ZHJzL2Rvd25yZXYueG1sUEsBAhQAFAAAAAgAh07iQFKlHzI+AgAAgQQAAA4AAAAAAAAAAQAgAAAA&#10;KQEAAGRycy9lMm9Eb2MueG1sUEsFBgAAAAAGAAYAWQEAANkFAAAAAA==&#10;">
                <v:fill on="f" focussize="0,0"/>
                <v:stroke weight="0.48pt" color="#000000" joinstyle="miter"/>
                <v:imagedata o:title=""/>
                <o:lock v:ext="edit" aspectratio="f"/>
                <v:textbox inset="0mm,0mm,0mm,0mm" style="mso-fit-shape-to-text:t;">
                  <w:txbxContent>
                    <w:p w14:paraId="37509BBB">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教学目的：</w:t>
                      </w:r>
                      <w:r>
                        <w:rPr>
                          <w:rFonts w:hint="eastAsia" w:ascii="黑体" w:hAnsi="黑体" w:eastAsia="黑体" w:cs="黑体"/>
                          <w:b w:val="0"/>
                          <w:bCs/>
                          <w:sz w:val="24"/>
                          <w:szCs w:val="24"/>
                          <w:lang w:val="zh-CN" w:eastAsia="zh-CN" w:bidi="zh-CN"/>
                        </w:rPr>
                        <w:t>掌握</w:t>
                      </w:r>
                      <w:r>
                        <w:rPr>
                          <w:rFonts w:hint="eastAsia" w:ascii="黑体" w:hAnsi="黑体" w:eastAsia="黑体" w:cs="黑体"/>
                          <w:b w:val="0"/>
                          <w:bCs/>
                          <w:sz w:val="24"/>
                          <w:szCs w:val="24"/>
                          <w:lang w:val="en-US" w:eastAsia="zh-CN" w:bidi="zh-CN"/>
                        </w:rPr>
                        <w:t>科目汇总表账务处理程序的基本理论和实务操作</w:t>
                      </w:r>
                      <w:r>
                        <w:rPr>
                          <w:rFonts w:hint="eastAsia" w:ascii="黑体" w:hAnsi="黑体" w:eastAsia="黑体" w:cs="黑体"/>
                          <w:b w:val="0"/>
                          <w:bCs/>
                          <w:sz w:val="24"/>
                          <w:szCs w:val="24"/>
                          <w:lang w:val="zh-CN" w:eastAsia="zh-CN" w:bidi="zh-CN"/>
                        </w:rPr>
                        <w:t>。</w:t>
                      </w:r>
                    </w:p>
                    <w:p w14:paraId="4AABA18A">
                      <w:pPr>
                        <w:widowControl w:val="0"/>
                        <w:autoSpaceDE w:val="0"/>
                        <w:autoSpaceDN w:val="0"/>
                        <w:spacing w:before="0" w:after="0" w:line="360" w:lineRule="auto"/>
                        <w:ind w:left="80" w:right="74"/>
                        <w:jc w:val="left"/>
                        <w:rPr>
                          <w:rFonts w:hint="default" w:ascii="黑体" w:hAnsi="黑体" w:eastAsia="黑体" w:cs="黑体"/>
                          <w:b w:val="0"/>
                          <w:bCs/>
                          <w:sz w:val="24"/>
                          <w:szCs w:val="24"/>
                          <w:lang w:val="en-US" w:eastAsia="zh-CN" w:bidi="zh-CN"/>
                        </w:rPr>
                      </w:pPr>
                      <w:r>
                        <w:rPr>
                          <w:rFonts w:hint="eastAsia" w:ascii="黑体" w:hAnsi="黑体" w:eastAsia="黑体" w:cs="黑体"/>
                          <w:b/>
                          <w:sz w:val="24"/>
                          <w:szCs w:val="24"/>
                          <w:lang w:val="zh-CN" w:eastAsia="zh-CN" w:bidi="zh-CN"/>
                        </w:rPr>
                        <w:t>教学重点：</w:t>
                      </w:r>
                      <w:r>
                        <w:rPr>
                          <w:rFonts w:hint="eastAsia" w:ascii="黑体" w:hAnsi="黑体" w:eastAsia="黑体" w:cs="黑体"/>
                          <w:b w:val="0"/>
                          <w:bCs/>
                          <w:sz w:val="24"/>
                          <w:szCs w:val="24"/>
                          <w:lang w:val="en-US" w:eastAsia="zh-CN" w:bidi="zh-CN"/>
                        </w:rPr>
                        <w:t>科目汇总表账务处理程序具体操作流程、账务处理程序特点、科目汇总表账务处理程序下记账凭证、账簿的设置，科目汇总表的编制方法。</w:t>
                      </w:r>
                    </w:p>
                    <w:p w14:paraId="598C4976">
                      <w:pPr>
                        <w:autoSpaceDE w:val="0"/>
                        <w:autoSpaceDN w:val="0"/>
                        <w:spacing w:before="0" w:after="0" w:line="360" w:lineRule="auto"/>
                        <w:ind w:left="80" w:right="1449" w:firstLine="0"/>
                        <w:jc w:val="left"/>
                        <w:rPr>
                          <w:rFonts w:hint="eastAsia" w:ascii="黑体" w:hAnsi="黑体" w:eastAsia="黑体" w:cs="黑体"/>
                          <w:b/>
                          <w:kern w:val="0"/>
                          <w:sz w:val="24"/>
                          <w:szCs w:val="24"/>
                          <w:lang w:val="en-US" w:eastAsia="zh-CN" w:bidi="zh-CN"/>
                        </w:rPr>
                      </w:pPr>
                      <w:r>
                        <w:rPr>
                          <w:rFonts w:hint="eastAsia" w:ascii="黑体" w:hAnsi="黑体" w:eastAsia="黑体" w:cs="黑体"/>
                          <w:b/>
                          <w:kern w:val="0"/>
                          <w:sz w:val="24"/>
                          <w:szCs w:val="24"/>
                          <w:lang w:val="zh-CN" w:bidi="zh-CN"/>
                        </w:rPr>
                        <w:t>教学难点：</w:t>
                      </w:r>
                      <w:r>
                        <w:rPr>
                          <w:rFonts w:hint="eastAsia" w:ascii="黑体" w:hAnsi="黑体" w:eastAsia="黑体" w:cs="黑体"/>
                          <w:b w:val="0"/>
                          <w:bCs/>
                          <w:kern w:val="0"/>
                          <w:sz w:val="24"/>
                          <w:szCs w:val="24"/>
                          <w:lang w:val="en-US" w:eastAsia="zh-CN" w:bidi="zh-CN"/>
                        </w:rPr>
                        <w:t>科目汇总表案例实操及要点。</w:t>
                      </w:r>
                    </w:p>
                    <w:p w14:paraId="1DDAE023">
                      <w:pPr>
                        <w:widowControl w:val="0"/>
                        <w:autoSpaceDE w:val="0"/>
                        <w:autoSpaceDN w:val="0"/>
                        <w:spacing w:before="0" w:after="0" w:line="360" w:lineRule="auto"/>
                        <w:ind w:left="80" w:right="0"/>
                        <w:jc w:val="left"/>
                        <w:rPr>
                          <w:rFonts w:hint="eastAsia" w:ascii="黑体" w:hAnsi="黑体" w:eastAsia="黑体" w:cs="黑体"/>
                          <w:b/>
                          <w:sz w:val="15"/>
                          <w:szCs w:val="21"/>
                          <w:lang w:val="zh-CN" w:eastAsia="zh-CN" w:bidi="zh-CN"/>
                        </w:rPr>
                      </w:pPr>
                      <w:r>
                        <w:rPr>
                          <w:rFonts w:hint="eastAsia" w:ascii="黑体" w:hAnsi="黑体" w:eastAsia="黑体" w:cs="黑体"/>
                          <w:b/>
                          <w:sz w:val="24"/>
                          <w:szCs w:val="24"/>
                          <w:lang w:val="zh-CN" w:eastAsia="zh-CN" w:bidi="zh-CN"/>
                        </w:rPr>
                        <w:t>教学方法：</w:t>
                      </w:r>
                      <w:r>
                        <w:rPr>
                          <w:rFonts w:hint="eastAsia" w:ascii="黑体" w:hAnsi="黑体" w:eastAsia="黑体" w:cs="黑体"/>
                          <w:sz w:val="24"/>
                          <w:szCs w:val="24"/>
                          <w:lang w:val="zh-CN" w:eastAsia="zh-CN" w:bidi="zh-CN"/>
                        </w:rPr>
                        <w:t>讲授法、PPT演示、案例法、实训法</w:t>
                      </w:r>
                    </w:p>
                    <w:p w14:paraId="72AF45AD">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授课时数：</w:t>
                      </w:r>
                      <w:r>
                        <w:rPr>
                          <w:rFonts w:hint="eastAsia" w:ascii="黑体" w:hAnsi="黑体" w:eastAsia="黑体" w:cs="黑体"/>
                          <w:b w:val="0"/>
                          <w:bCs/>
                          <w:sz w:val="24"/>
                          <w:szCs w:val="24"/>
                          <w:lang w:val="zh-CN" w:eastAsia="zh-CN" w:bidi="zh-CN"/>
                        </w:rPr>
                        <w:t>2课时</w:t>
                      </w:r>
                    </w:p>
                  </w:txbxContent>
                </v:textbox>
                <w10:wrap type="topAndBottom"/>
              </v:shape>
            </w:pict>
          </mc:Fallback>
        </mc:AlternateContent>
      </w:r>
    </w:p>
    <w:p w14:paraId="2650ACF7">
      <w:pPr>
        <w:pStyle w:val="4"/>
      </w:pPr>
      <w:r>
        <w:t>一、科目汇总表账务处理程序</w:t>
      </w:r>
    </w:p>
    <w:p w14:paraId="78F9A26D">
      <w:pPr>
        <w:pStyle w:val="5"/>
        <w:numPr>
          <w:ilvl w:val="0"/>
          <w:numId w:val="0"/>
        </w:numPr>
        <w:topLinePunct w:val="0"/>
        <w:ind w:left="480" w:leftChars="0"/>
        <w:rPr>
          <w:rFonts w:hint="eastAsia" w:ascii="黑体" w:hAnsi="黑体" w:eastAsia="黑体" w:cs="黑体"/>
          <w:b w:val="0"/>
        </w:rPr>
      </w:pPr>
      <w:r>
        <w:rPr>
          <w:rFonts w:hint="eastAsia"/>
          <w:lang w:val="en-US" w:eastAsia="zh-CN"/>
        </w:rPr>
        <w:t>1、</w:t>
      </w:r>
      <w:r>
        <w:t>科目汇总表账务处理程序具体操作流程</w:t>
      </w:r>
    </w:p>
    <w:p w14:paraId="28F8D644">
      <w:pPr>
        <w:pStyle w:val="11"/>
        <w:numPr>
          <w:ilvl w:val="0"/>
          <w:numId w:val="8"/>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根据原始凭证编制汇总原始凭证。</w:t>
      </w:r>
    </w:p>
    <w:p w14:paraId="10022842">
      <w:pPr>
        <w:pStyle w:val="11"/>
        <w:numPr>
          <w:ilvl w:val="0"/>
          <w:numId w:val="8"/>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根据原始凭证或汇总原始凭证编制记账凭证。</w:t>
      </w:r>
    </w:p>
    <w:p w14:paraId="605050C9">
      <w:pPr>
        <w:pStyle w:val="11"/>
        <w:numPr>
          <w:ilvl w:val="0"/>
          <w:numId w:val="8"/>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根据收款凭证和付款凭证逐笔登记库存现金日记账和银行存款日记账。</w:t>
      </w:r>
    </w:p>
    <w:p w14:paraId="55B4E2C9">
      <w:pPr>
        <w:pStyle w:val="11"/>
        <w:numPr>
          <w:ilvl w:val="0"/>
          <w:numId w:val="8"/>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根据原始凭证、汇总原始凭证和记账凭证，登记各种明细分类账。</w:t>
      </w:r>
    </w:p>
    <w:p w14:paraId="257AFFCC">
      <w:pPr>
        <w:pStyle w:val="11"/>
        <w:numPr>
          <w:ilvl w:val="0"/>
          <w:numId w:val="8"/>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根据各种记账凭证编制科目汇总表。</w:t>
      </w:r>
    </w:p>
    <w:p w14:paraId="1891A018">
      <w:pPr>
        <w:pStyle w:val="11"/>
        <w:numPr>
          <w:ilvl w:val="0"/>
          <w:numId w:val="8"/>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根据科目汇总表登记总分类账。</w:t>
      </w:r>
    </w:p>
    <w:p w14:paraId="4D8911CE">
      <w:pPr>
        <w:pStyle w:val="11"/>
        <w:numPr>
          <w:ilvl w:val="0"/>
          <w:numId w:val="8"/>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期末，将库存现金日记账、银行存款日记账和明细分类账的余额与有关总分类账的余额核对相符。</w:t>
      </w:r>
    </w:p>
    <w:p w14:paraId="79A97110">
      <w:pPr>
        <w:pStyle w:val="11"/>
        <w:numPr>
          <w:ilvl w:val="0"/>
          <w:numId w:val="8"/>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期末，根据总分类账和明细分类账编制会计报表。</w:t>
      </w:r>
    </w:p>
    <w:p w14:paraId="5877E321">
      <w:pPr>
        <w:pStyle w:val="11"/>
        <w:numPr>
          <w:ilvl w:val="0"/>
          <w:numId w:val="0"/>
        </w:numPr>
        <w:ind w:left="480" w:leftChars="0"/>
        <w:jc w:val="center"/>
        <w:rPr>
          <w:rFonts w:hint="eastAsia" w:ascii="宋体" w:hAnsi="宋体" w:eastAsia="宋体" w:cs="宋体"/>
          <w:b w:val="0"/>
          <w:color w:val="000000" w:themeColor="text1"/>
          <w14:textFill>
            <w14:solidFill>
              <w14:schemeClr w14:val="tx1"/>
            </w14:solidFill>
          </w14:textFill>
        </w:rPr>
      </w:pPr>
      <w:r>
        <w:drawing>
          <wp:inline distT="0" distB="0" distL="114300" distR="114300">
            <wp:extent cx="3862070" cy="2092960"/>
            <wp:effectExtent l="0" t="0" r="11430" b="2540"/>
            <wp:docPr id="42"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5"/>
                    <pic:cNvPicPr>
                      <a:picLocks noChangeAspect="1"/>
                    </pic:cNvPicPr>
                  </pic:nvPicPr>
                  <pic:blipFill>
                    <a:blip r:embed="rId14"/>
                    <a:stretch>
                      <a:fillRect/>
                    </a:stretch>
                  </pic:blipFill>
                  <pic:spPr>
                    <a:xfrm>
                      <a:off x="0" y="0"/>
                      <a:ext cx="3862070" cy="2092960"/>
                    </a:xfrm>
                    <a:prstGeom prst="rect">
                      <a:avLst/>
                    </a:prstGeom>
                    <a:noFill/>
                    <a:ln>
                      <a:noFill/>
                    </a:ln>
                  </pic:spPr>
                </pic:pic>
              </a:graphicData>
            </a:graphic>
          </wp:inline>
        </w:drawing>
      </w:r>
    </w:p>
    <w:p w14:paraId="2442AF36">
      <w:pPr>
        <w:pStyle w:val="5"/>
        <w:numPr>
          <w:ilvl w:val="0"/>
          <w:numId w:val="0"/>
        </w:numPr>
        <w:topLinePunct w:val="0"/>
        <w:ind w:left="480" w:leftChars="0"/>
        <w:rPr>
          <w:rFonts w:hint="eastAsia" w:ascii="黑体" w:hAnsi="黑体" w:eastAsia="黑体" w:cs="黑体"/>
          <w:b w:val="0"/>
        </w:rPr>
      </w:pPr>
      <w:r>
        <w:rPr>
          <w:rFonts w:hint="eastAsia"/>
          <w:lang w:val="en-US" w:eastAsia="zh-CN"/>
        </w:rPr>
        <w:t>2、</w:t>
      </w:r>
      <w:r>
        <w:t>账务处理程序特点</w:t>
      </w:r>
    </w:p>
    <w:p w14:paraId="46C79D62">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科目汇总表账务处理程序又称记账凭证汇总表账务处理程序，是在记账凭证账务处理程序的基础上发展和演变而来的。</w:t>
      </w:r>
    </w:p>
    <w:p w14:paraId="1A8C2A36">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其特点是：根据所有记账凭证定期编制科目汇总表，再根据科目汇总表登记总分类账。</w:t>
      </w:r>
    </w:p>
    <w:p w14:paraId="2BB61FDC">
      <w:pPr>
        <w:pStyle w:val="5"/>
        <w:numPr>
          <w:ilvl w:val="0"/>
          <w:numId w:val="0"/>
        </w:numPr>
        <w:topLinePunct w:val="0"/>
        <w:ind w:left="480" w:leftChars="0"/>
        <w:rPr>
          <w:rFonts w:hint="eastAsia" w:ascii="黑体" w:hAnsi="黑体" w:eastAsia="黑体" w:cs="黑体"/>
          <w:b w:val="0"/>
        </w:rPr>
      </w:pPr>
      <w:r>
        <w:rPr>
          <w:rFonts w:hint="eastAsia"/>
          <w:lang w:val="en-US" w:eastAsia="zh-CN"/>
        </w:rPr>
        <w:t>3、</w:t>
      </w:r>
      <w:r>
        <w:t>科目汇总表账务处理程序下记账凭证、账簿的设置</w:t>
      </w:r>
    </w:p>
    <w:p w14:paraId="605B16AB">
      <w:pPr>
        <w:pStyle w:val="11"/>
        <w:numPr>
          <w:ilvl w:val="0"/>
          <w:numId w:val="9"/>
        </w:numPr>
        <w:topLinePunct w:val="0"/>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记账凭证可以是通用记账凭证，也可以分设收款凭证、付款凭证和转账凭证的专用凭证；</w:t>
      </w:r>
    </w:p>
    <w:p w14:paraId="2CA91266">
      <w:pPr>
        <w:pStyle w:val="11"/>
        <w:numPr>
          <w:ilvl w:val="0"/>
          <w:numId w:val="9"/>
        </w:numPr>
        <w:topLinePunct w:val="0"/>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除了总账外，需要设置现金日记账、银行存款日记账、明细分类账和总分类账，其中现金日记账、银行存款日记账和总分类账一般采用三栏式，明细分类账根据需要采用三栏式、多栏式和数量金额式。</w:t>
      </w:r>
    </w:p>
    <w:p w14:paraId="7BD4FE37">
      <w:pPr>
        <w:pStyle w:val="5"/>
        <w:numPr>
          <w:ilvl w:val="0"/>
          <w:numId w:val="6"/>
        </w:numPr>
        <w:topLinePunct w:val="0"/>
        <w:ind w:left="0" w:leftChars="0" w:firstLine="480" w:firstLineChars="0"/>
        <w:rPr>
          <w:rFonts w:hint="eastAsia" w:ascii="黑体" w:hAnsi="黑体" w:eastAsia="黑体" w:cs="黑体"/>
          <w:b w:val="0"/>
        </w:rPr>
      </w:pPr>
      <w:r>
        <w:t>科目汇总表的编制方法</w:t>
      </w:r>
    </w:p>
    <w:p w14:paraId="40780CB2">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科目汇总表是根据专用记账凭证汇总编制而成的。它是根据一定时期内的全部记账凭证，按照相同会计科目进行归类，定期（每5天、10天或15天，或每月一次等）分别汇总每一个账户的借、贷双方的发生额，并将其填列在科目汇总表的相应栏内，借以反映全部账户的借、贷方发生额。即发生额试算平衡表。</w:t>
      </w:r>
    </w:p>
    <w:p w14:paraId="2388041D">
      <w:pPr>
        <w:pStyle w:val="11"/>
        <w:rPr>
          <w:rFonts w:hint="eastAsia" w:eastAsia="宋体"/>
          <w:b w:val="0"/>
          <w:color w:val="000000" w:themeColor="text1"/>
          <w:lang w:eastAsia="zh-CN"/>
          <w14:textFill>
            <w14:solidFill>
              <w14:schemeClr w14:val="tx1"/>
            </w14:solidFill>
          </w14:textFill>
        </w:rPr>
      </w:pPr>
      <w:r>
        <w:rPr>
          <w:b w:val="0"/>
          <w:color w:val="000000" w:themeColor="text1"/>
          <w14:textFill>
            <w14:solidFill>
              <w14:schemeClr w14:val="tx1"/>
            </w14:solidFill>
          </w14:textFill>
        </w:rPr>
        <w:t>根据科目汇总表登记总分类账时，只需要将该表中汇总起来的各科目的本期借、贷方发生额的合计数，分次或月末一次记入相应总分类账的借方或贷方即可。</w:t>
      </w:r>
    </w:p>
    <w:p w14:paraId="610F4272">
      <w:pPr>
        <w:pStyle w:val="5"/>
        <w:numPr>
          <w:ilvl w:val="0"/>
          <w:numId w:val="6"/>
        </w:numPr>
        <w:topLinePunct w:val="0"/>
        <w:ind w:left="0" w:leftChars="0" w:firstLine="480" w:firstLineChars="0"/>
        <w:rPr>
          <w:rFonts w:hint="eastAsia" w:ascii="黑体" w:hAnsi="黑体" w:eastAsia="黑体" w:cs="黑体"/>
          <w:b w:val="0"/>
        </w:rPr>
      </w:pPr>
      <w:r>
        <w:t>科目汇总表的编制具体操作步骤</w:t>
      </w:r>
    </w:p>
    <w:p w14:paraId="6A116C65">
      <w:pPr>
        <w:pStyle w:val="11"/>
        <w:numPr>
          <w:ilvl w:val="0"/>
          <w:numId w:val="10"/>
        </w:numPr>
        <w:topLinePunct w:val="0"/>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将汇总期内有发生额的各项交易或事项所涉及的总账科目填列在科目汇总表的“会计科目”栏内。</w:t>
      </w:r>
    </w:p>
    <w:p w14:paraId="25943D49">
      <w:pPr>
        <w:pStyle w:val="11"/>
        <w:numPr>
          <w:ilvl w:val="0"/>
          <w:numId w:val="10"/>
        </w:numPr>
        <w:topLinePunct w:val="0"/>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根据汇总期内所有记账凭证，按会计科目分别加计其借方发生额和贷方发生额，并将其汇总金额填在各相应会计科目的“借方”和“贷方”栏内。</w:t>
      </w:r>
    </w:p>
    <w:p w14:paraId="188EC0E7">
      <w:pPr>
        <w:pStyle w:val="11"/>
        <w:numPr>
          <w:ilvl w:val="0"/>
          <w:numId w:val="10"/>
        </w:numPr>
        <w:topLinePunct w:val="0"/>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还应分别加总全部会计科目“借方”和“贷方”发生额，进行发生额的试算平衡。</w:t>
      </w:r>
    </w:p>
    <w:p w14:paraId="0CABADFE">
      <w:pPr>
        <w:pStyle w:val="5"/>
        <w:numPr>
          <w:ilvl w:val="0"/>
          <w:numId w:val="6"/>
        </w:numPr>
        <w:topLinePunct w:val="0"/>
        <w:ind w:left="0" w:leftChars="0" w:firstLine="480" w:firstLineChars="0"/>
        <w:rPr>
          <w:rFonts w:hint="eastAsia" w:ascii="黑体" w:hAnsi="黑体" w:eastAsia="黑体" w:cs="黑体"/>
          <w:b w:val="0"/>
        </w:rPr>
      </w:pPr>
      <w:r>
        <w:t>优缺点和适用范围</w:t>
      </w:r>
    </w:p>
    <w:p w14:paraId="041E65C4">
      <w:pPr>
        <w:pStyle w:val="6"/>
        <w:numPr>
          <w:ilvl w:val="0"/>
          <w:numId w:val="11"/>
        </w:numPr>
        <w:topLinePunct w:val="0"/>
        <w:ind w:left="0" w:leftChars="0" w:firstLine="0" w:firstLineChars="0"/>
        <w:rPr>
          <w:rFonts w:hint="eastAsia" w:ascii="黑体" w:hAnsi="黑体" w:eastAsia="黑体" w:cs="黑体"/>
          <w:b w:val="0"/>
        </w:rPr>
      </w:pPr>
      <w:r>
        <w:t>优点和使用范围</w:t>
      </w:r>
    </w:p>
    <w:p w14:paraId="1855F5A9">
      <w:pPr>
        <w:pStyle w:val="11"/>
        <w:numPr>
          <w:ilvl w:val="0"/>
          <w:numId w:val="12"/>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大大减化了总分类账的登记工作。</w:t>
      </w:r>
    </w:p>
    <w:p w14:paraId="6DA30DDF">
      <w:pPr>
        <w:pStyle w:val="11"/>
        <w:numPr>
          <w:ilvl w:val="0"/>
          <w:numId w:val="12"/>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科目汇总表是按总账科目汇总的，只能作为登记总账和试算平衡的依据，不便于分析和检查经济业务来龙去脉，不便于查对账目。</w:t>
      </w:r>
    </w:p>
    <w:p w14:paraId="6186204C">
      <w:pPr>
        <w:pStyle w:val="11"/>
        <w:numPr>
          <w:ilvl w:val="0"/>
          <w:numId w:val="12"/>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可以保证总分类账登记的正确性。</w:t>
      </w:r>
    </w:p>
    <w:p w14:paraId="459960E9">
      <w:pPr>
        <w:pStyle w:val="11"/>
        <w:numPr>
          <w:ilvl w:val="0"/>
          <w:numId w:val="12"/>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适用性比较强。适于规模较大，业务较多的经济单位。</w:t>
      </w:r>
    </w:p>
    <w:p w14:paraId="283373B4">
      <w:pPr>
        <w:pStyle w:val="6"/>
        <w:numPr>
          <w:ilvl w:val="0"/>
          <w:numId w:val="11"/>
        </w:numPr>
        <w:topLinePunct w:val="0"/>
        <w:ind w:left="0" w:leftChars="0" w:firstLine="0" w:firstLineChars="0"/>
        <w:rPr>
          <w:rFonts w:hint="eastAsia" w:ascii="黑体" w:hAnsi="黑体" w:eastAsia="黑体" w:cs="黑体"/>
          <w:b w:val="0"/>
        </w:rPr>
      </w:pPr>
      <w:r>
        <w:t>缺点</w:t>
      </w:r>
    </w:p>
    <w:p w14:paraId="2071C192">
      <w:pPr>
        <w:pStyle w:val="11"/>
        <w:numPr>
          <w:ilvl w:val="0"/>
          <w:numId w:val="13"/>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编制科目汇总表的工作量比较大。</w:t>
      </w:r>
    </w:p>
    <w:p w14:paraId="4B172CCC">
      <w:pPr>
        <w:pStyle w:val="11"/>
        <w:numPr>
          <w:ilvl w:val="0"/>
          <w:numId w:val="13"/>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科目汇总表上不能够清晰地反映账户之间的对应关系。</w:t>
      </w:r>
    </w:p>
    <w:p w14:paraId="1504AFF5">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科目汇总表是按各个会计科目归类汇总其发生额的，在该表中不能清楚地显示出各个账户之间的对应关系，不能够清晰地反映经济业务的来龙去脉。</w:t>
      </w:r>
    </w:p>
    <w:p w14:paraId="4520C9DC">
      <w:pPr>
        <w:pStyle w:val="4"/>
        <w:numPr>
          <w:ilvl w:val="0"/>
          <w:numId w:val="0"/>
        </w:numPr>
        <w:topLinePunct w:val="0"/>
        <w:ind w:leftChars="0"/>
        <w:rPr>
          <w:rFonts w:hint="eastAsia" w:ascii="黑体" w:hAnsi="黑体" w:eastAsia="黑体" w:cs="黑体"/>
          <w:b w:val="0"/>
        </w:rPr>
      </w:pPr>
      <w:r>
        <w:rPr>
          <w:rFonts w:hint="eastAsia"/>
          <w:lang w:val="en-US" w:eastAsia="zh-CN"/>
        </w:rPr>
        <w:t>二、</w:t>
      </w:r>
      <w:r>
        <w:t>科目汇总表编制训练</w:t>
      </w:r>
    </w:p>
    <w:p w14:paraId="58F3ABAB">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案例：见课本。</w:t>
      </w:r>
    </w:p>
    <w:p w14:paraId="2536D18F">
      <w:pPr>
        <w:pStyle w:val="11"/>
        <w:rPr>
          <w:b w:val="0"/>
          <w:color w:val="000000" w:themeColor="text1"/>
          <w14:textFill>
            <w14:solidFill>
              <w14:schemeClr w14:val="tx1"/>
            </w14:solidFill>
          </w14:textFill>
        </w:rPr>
      </w:pPr>
      <w:r>
        <w:rPr>
          <w:rFonts w:hint="eastAsia" w:ascii="黑体" w:hAnsi="黑体" w:eastAsia="黑体" w:cs="黑体"/>
          <w:b w:val="0"/>
          <w:color w:val="000000" w:themeColor="text1"/>
          <w:sz w:val="24"/>
          <w:szCs w:val="24"/>
          <w14:textFill>
            <w14:solidFill>
              <w14:schemeClr w14:val="tx1"/>
            </w14:solidFill>
          </w14:textFill>
        </w:rPr>
        <w:t>步骤一：在草稿纸上找出本期业务涉及会计分录中的所有不重合的总账科目。</w:t>
      </w:r>
      <w:r>
        <w:rPr>
          <w:b w:val="0"/>
          <w:color w:val="000000" w:themeColor="text1"/>
          <w14:textFill>
            <w14:solidFill>
              <w14:schemeClr w14:val="tx1"/>
            </w14:solidFill>
          </w14:textFill>
        </w:rPr>
        <w:t>如下所示：</w:t>
      </w:r>
    </w:p>
    <w:p w14:paraId="101053BE">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库存现金、银行存款、应收账款、其他应收款、原材料、库存商品、固定资产、累计折旧、短期借款、应付利息、应付职工薪酬、应交税费、实收资本、生产成本、制造费用、主营业务收入、主营业务成本、销售费用、管理费用、财务费用。</w:t>
      </w:r>
    </w:p>
    <w:p w14:paraId="5EFE9776">
      <w:pPr>
        <w:pStyle w:val="11"/>
        <w:rPr>
          <w:b w:val="0"/>
          <w:color w:val="000000" w:themeColor="text1"/>
          <w14:textFill>
            <w14:solidFill>
              <w14:schemeClr w14:val="tx1"/>
            </w14:solidFill>
          </w14:textFill>
        </w:rPr>
      </w:pPr>
      <w:r>
        <w:rPr>
          <w:rFonts w:hint="eastAsia" w:ascii="黑体" w:hAnsi="黑体" w:eastAsia="黑体" w:cs="黑体"/>
          <w:b w:val="0"/>
          <w:color w:val="000000" w:themeColor="text1"/>
          <w14:textFill>
            <w14:solidFill>
              <w14:schemeClr w14:val="tx1"/>
            </w14:solidFill>
          </w14:textFill>
        </w:rPr>
        <w:t>步骤二：在草稿纸上画出各个账户，并将各账户的期初余额，分录中的本期发生额过入，计算本期累计借方或贷方发生额及期末余额。</w:t>
      </w:r>
    </w:p>
    <w:p w14:paraId="648A9AAA">
      <w:pPr>
        <w:keepNext w:val="0"/>
        <w:keepLines w:val="0"/>
        <w:pageBreakBefore w:val="0"/>
        <w:widowControl w:val="0"/>
        <w:numPr>
          <w:ilvl w:val="0"/>
          <w:numId w:val="0"/>
        </w:numPr>
        <w:kinsoku/>
        <w:wordWrap/>
        <w:overflowPunct/>
        <w:topLinePunct w:val="0"/>
        <w:autoSpaceDE/>
        <w:autoSpaceDN/>
        <w:bidi w:val="0"/>
        <w:adjustRightInd w:val="0"/>
        <w:snapToGrid w:val="0"/>
        <w:spacing w:line="240" w:lineRule="auto"/>
        <w:jc w:val="left"/>
        <w:textAlignment w:val="auto"/>
      </w:pPr>
      <w:r>
        <w:drawing>
          <wp:inline distT="0" distB="0" distL="114300" distR="114300">
            <wp:extent cx="2417445" cy="1614805"/>
            <wp:effectExtent l="0" t="0" r="8255" b="10795"/>
            <wp:docPr id="1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6"/>
                    <pic:cNvPicPr>
                      <a:picLocks noChangeAspect="1"/>
                    </pic:cNvPicPr>
                  </pic:nvPicPr>
                  <pic:blipFill>
                    <a:blip r:embed="rId15"/>
                    <a:stretch>
                      <a:fillRect/>
                    </a:stretch>
                  </pic:blipFill>
                  <pic:spPr>
                    <a:xfrm>
                      <a:off x="0" y="0"/>
                      <a:ext cx="2417445" cy="161480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294890" cy="1672590"/>
            <wp:effectExtent l="0" t="0" r="3810" b="3810"/>
            <wp:docPr id="2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7"/>
                    <pic:cNvPicPr>
                      <a:picLocks noChangeAspect="1"/>
                    </pic:cNvPicPr>
                  </pic:nvPicPr>
                  <pic:blipFill>
                    <a:blip r:embed="rId16"/>
                    <a:stretch>
                      <a:fillRect/>
                    </a:stretch>
                  </pic:blipFill>
                  <pic:spPr>
                    <a:xfrm>
                      <a:off x="0" y="0"/>
                      <a:ext cx="2294890" cy="1672590"/>
                    </a:xfrm>
                    <a:prstGeom prst="rect">
                      <a:avLst/>
                    </a:prstGeom>
                    <a:noFill/>
                    <a:ln>
                      <a:noFill/>
                    </a:ln>
                  </pic:spPr>
                </pic:pic>
              </a:graphicData>
            </a:graphic>
          </wp:inline>
        </w:drawing>
      </w:r>
    </w:p>
    <w:p w14:paraId="4E1BC1F9">
      <w:pPr>
        <w:pStyle w:val="11"/>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eastAsia" w:ascii="汉仪旗黑-75S" w:hAnsi="汉仪旗黑-75S" w:eastAsia="汉仪旗黑-75S" w:cs="汉仪旗黑-75S"/>
        </w:rPr>
      </w:pPr>
      <w:r>
        <w:rPr>
          <w:rFonts w:hint="eastAsia" w:ascii="汉仪旗黑-75S" w:hAnsi="汉仪旗黑-75S" w:eastAsia="汉仪旗黑-75S" w:cs="汉仪旗黑-75S"/>
        </w:rPr>
        <w:t>其余账户略。</w:t>
      </w:r>
    </w:p>
    <w:p w14:paraId="2F954191">
      <w:pPr>
        <w:pStyle w:val="11"/>
        <w:rPr>
          <w:rFonts w:hint="eastAsia" w:ascii="黑体" w:hAnsi="黑体" w:eastAsia="黑体" w:cs="黑体"/>
        </w:rPr>
      </w:pPr>
      <w:r>
        <w:rPr>
          <w:rFonts w:hint="eastAsia" w:ascii="黑体" w:hAnsi="黑体" w:eastAsia="黑体" w:cs="黑体"/>
        </w:rPr>
        <w:t>步骤三：将各账户的本期借方发生额合计数和贷方发生额合计数过入科目汇总表中。如下表所示：</w:t>
      </w:r>
    </w:p>
    <w:p w14:paraId="7519B389">
      <w:pPr>
        <w:keepNext w:val="0"/>
        <w:keepLines w:val="0"/>
        <w:pageBreakBefore w:val="0"/>
        <w:widowControl w:val="0"/>
        <w:numPr>
          <w:ilvl w:val="0"/>
          <w:numId w:val="0"/>
        </w:numPr>
        <w:kinsoku/>
        <w:wordWrap/>
        <w:overflowPunct/>
        <w:topLinePunct w:val="0"/>
        <w:autoSpaceDE/>
        <w:autoSpaceDN/>
        <w:bidi w:val="0"/>
        <w:adjustRightInd w:val="0"/>
        <w:snapToGrid w:val="0"/>
        <w:spacing w:line="20" w:lineRule="atLeast"/>
        <w:jc w:val="left"/>
        <w:textAlignment w:val="auto"/>
        <w:rPr>
          <w:rFonts w:hint="eastAsia" w:ascii="微软雅黑" w:hAnsi="微软雅黑" w:eastAsia="微软雅黑" w:cs="微软雅黑"/>
          <w:b/>
          <w:bCs/>
          <w:sz w:val="20"/>
          <w:szCs w:val="22"/>
          <w:lang w:val="en-US" w:eastAsia="zh-CN"/>
        </w:rPr>
      </w:pPr>
      <w:r>
        <w:rPr>
          <w:rFonts w:hint="eastAsia" w:ascii="微软雅黑" w:hAnsi="微软雅黑" w:eastAsia="微软雅黑" w:cs="微软雅黑"/>
          <w:b/>
          <w:bCs/>
          <w:sz w:val="22"/>
          <w:szCs w:val="28"/>
          <w:lang w:val="en-US" w:eastAsia="zh-CN"/>
        </w:rPr>
        <w:t xml:space="preserve">                           科目汇总表                     </w:t>
      </w:r>
      <w:r>
        <w:rPr>
          <w:rFonts w:hint="eastAsia" w:ascii="微软雅黑" w:hAnsi="微软雅黑" w:eastAsia="微软雅黑" w:cs="微软雅黑"/>
          <w:b/>
          <w:bCs/>
          <w:sz w:val="20"/>
          <w:szCs w:val="22"/>
          <w:lang w:val="en-US" w:eastAsia="zh-CN"/>
        </w:rPr>
        <w:t xml:space="preserve">   科汇字第1号</w:t>
      </w:r>
    </w:p>
    <w:p w14:paraId="3FB2FD88">
      <w:pPr>
        <w:pStyle w:val="11"/>
        <w:keepNext w:val="0"/>
        <w:keepLines w:val="0"/>
        <w:pageBreakBefore w:val="0"/>
        <w:widowControl w:val="0"/>
        <w:kinsoku/>
        <w:wordWrap/>
        <w:overflowPunct/>
        <w:topLinePunct w:val="0"/>
        <w:autoSpaceDE/>
        <w:autoSpaceDN/>
        <w:bidi w:val="0"/>
        <w:adjustRightInd w:val="0"/>
        <w:snapToGrid w:val="0"/>
        <w:spacing w:line="20" w:lineRule="atLeast"/>
        <w:ind w:left="0" w:leftChars="0" w:firstLine="0" w:firstLineChars="0"/>
        <w:jc w:val="left"/>
        <w:textAlignment w:val="auto"/>
        <w:rPr>
          <w:b/>
          <w:sz w:val="21"/>
          <w:szCs w:val="21"/>
        </w:rPr>
      </w:pPr>
      <w:r>
        <w:rPr>
          <w:b/>
          <w:sz w:val="21"/>
          <w:szCs w:val="21"/>
        </w:rPr>
        <w:t>记账凭证：记字第1号至第22号</w:t>
      </w:r>
      <w:r>
        <w:rPr>
          <w:rFonts w:hint="eastAsia"/>
          <w:b/>
          <w:sz w:val="21"/>
          <w:szCs w:val="21"/>
          <w:lang w:val="en-US" w:eastAsia="zh-CN"/>
        </w:rPr>
        <w:t xml:space="preserve">    </w:t>
      </w:r>
      <w:r>
        <w:rPr>
          <w:b/>
          <w:sz w:val="21"/>
          <w:szCs w:val="21"/>
        </w:rPr>
        <w:t> 20*4年4月1日至4月30日</w:t>
      </w:r>
      <w:r>
        <w:rPr>
          <w:rFonts w:hint="eastAsia"/>
          <w:b/>
          <w:sz w:val="21"/>
          <w:szCs w:val="21"/>
          <w:lang w:val="en-US" w:eastAsia="zh-CN"/>
        </w:rPr>
        <w:t xml:space="preserve">    </w:t>
      </w:r>
      <w:r>
        <w:rPr>
          <w:b/>
          <w:sz w:val="21"/>
          <w:szCs w:val="21"/>
        </w:rPr>
        <w:t>单位：元</w:t>
      </w:r>
    </w:p>
    <w:tbl>
      <w:tblPr>
        <w:tblStyle w:val="17"/>
        <w:tblpPr w:leftFromText="180" w:rightFromText="180" w:vertAnchor="text" w:horzAnchor="page" w:tblpX="1683" w:tblpY="179"/>
        <w:tblOverlap w:val="never"/>
        <w:tblW w:w="866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728"/>
        <w:gridCol w:w="3469"/>
        <w:gridCol w:w="3470"/>
      </w:tblGrid>
      <w:tr w14:paraId="30B661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40" w:hRule="atLeast"/>
        </w:trPr>
        <w:tc>
          <w:tcPr>
            <w:tcW w:w="1728" w:type="dxa"/>
            <w:vMerge w:val="restart"/>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362E6EB0">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会计科目</w:t>
            </w:r>
          </w:p>
        </w:tc>
        <w:tc>
          <w:tcPr>
            <w:tcW w:w="6939" w:type="dxa"/>
            <w:gridSpan w:val="2"/>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14:paraId="072A0797">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本期发生额</w:t>
            </w:r>
          </w:p>
        </w:tc>
      </w:tr>
      <w:tr w14:paraId="737A45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trPr>
        <w:tc>
          <w:tcPr>
            <w:tcW w:w="1728" w:type="dxa"/>
            <w:vMerge w:val="continue"/>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4627D8CD">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6EB95027">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借方</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04714CA7">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贷方</w:t>
            </w:r>
          </w:p>
        </w:tc>
      </w:tr>
      <w:tr w14:paraId="5DCB34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3AC48D78">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库存现金</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694FE3DB">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48370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49FFA42E">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47858</w:t>
            </w:r>
          </w:p>
        </w:tc>
      </w:tr>
      <w:tr w14:paraId="6B2FDF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15AE3993">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银行存款</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35E84331">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331600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1EDBCB21">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238180</w:t>
            </w:r>
          </w:p>
        </w:tc>
      </w:tr>
      <w:tr w14:paraId="2A339E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1E46E162">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应收账款</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244D3511">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90400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63915F3C">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151600</w:t>
            </w:r>
          </w:p>
        </w:tc>
      </w:tr>
      <w:tr w14:paraId="043581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4E0F76FA">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其他应收款</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46D08648">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2000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6964C923">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2000</w:t>
            </w:r>
          </w:p>
        </w:tc>
      </w:tr>
      <w:tr w14:paraId="190C4A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7EC91D1C">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原材料</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223C44D4">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130000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2C9277BA">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56400</w:t>
            </w:r>
          </w:p>
        </w:tc>
      </w:tr>
      <w:tr w14:paraId="06F7E3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2672D1EC">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库存商品</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31B4B455">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5080D83F">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40000</w:t>
            </w:r>
          </w:p>
        </w:tc>
      </w:tr>
      <w:tr w14:paraId="090D4B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3AC2E231">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固定资产</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000DE42C">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30000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3FD0AC76">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r>
      <w:tr w14:paraId="5A459A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13EBC22A">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累计折旧</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6BC2D3D8">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454D7FA2">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5000</w:t>
            </w:r>
          </w:p>
        </w:tc>
      </w:tr>
      <w:tr w14:paraId="581FC7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48E840C4">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短期借款</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45560797">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490A7366">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100000</w:t>
            </w:r>
          </w:p>
        </w:tc>
      </w:tr>
      <w:tr w14:paraId="581EC1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7D9D2E22">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应付利息</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5B20E8EB">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1F3E1094">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1000</w:t>
            </w:r>
          </w:p>
        </w:tc>
      </w:tr>
      <w:tr w14:paraId="332306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3FE7CFA2">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应付职工薪酬</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75F02802">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45600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5C28427A">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44000</w:t>
            </w:r>
          </w:p>
        </w:tc>
      </w:tr>
      <w:tr w14:paraId="6C4F54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6AE0C1FF">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应交税费</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063B6B80">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27400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61B68648">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10400</w:t>
            </w:r>
          </w:p>
        </w:tc>
      </w:tr>
      <w:tr w14:paraId="6D340F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5279092B">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实收资本</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532BC8C2">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20B2024E">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80000</w:t>
            </w:r>
          </w:p>
        </w:tc>
      </w:tr>
      <w:tr w14:paraId="3C9385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top"/>
          </w:tcPr>
          <w:p w14:paraId="604C16FD">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生产成本</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3C5D5409">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78900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387D2869">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r>
      <w:tr w14:paraId="249F2C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7FE4DD6F">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制造费用</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6522B00E">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16060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08605876">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r>
      <w:tr w14:paraId="44155A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45D476FC">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主营业务收入</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42779A46">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2653C9C3">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80000</w:t>
            </w:r>
          </w:p>
        </w:tc>
      </w:tr>
      <w:tr w14:paraId="49F033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0F3BFC24">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主营业务成本</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0BED5544">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40000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56DA1BEE">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r>
      <w:tr w14:paraId="61F9B5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2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2613C2CA">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销售费用</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6AEC4632">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2680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31A4C1E4">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r>
      <w:tr w14:paraId="71D21B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0C3EEDC6">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管理费用</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3BF58142">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12428</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2C870B43">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w:t>
            </w:r>
          </w:p>
        </w:tc>
      </w:tr>
      <w:tr w14:paraId="24171B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799AB590">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财务费用</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20094006">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1000</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19FE3729">
            <w:pPr>
              <w:keepNext w:val="0"/>
              <w:keepLines w:val="0"/>
              <w:pageBreakBefore w:val="0"/>
              <w:widowControl w:val="0"/>
              <w:kinsoku/>
              <w:wordWrap/>
              <w:overflowPunct/>
              <w:topLinePunct w:val="0"/>
              <w:autoSpaceDE/>
              <w:autoSpaceDN/>
              <w:bidi w:val="0"/>
              <w:adjustRightInd w:val="0"/>
              <w:snapToGrid w:val="0"/>
              <w:spacing w:line="20" w:lineRule="atLeast"/>
              <w:jc w:val="left"/>
              <w:textAlignment w:val="auto"/>
              <w:rPr>
                <w:rFonts w:hint="eastAsia" w:ascii="微软雅黑" w:hAnsi="微软雅黑" w:eastAsia="微软雅黑" w:cs="微软雅黑"/>
              </w:rPr>
            </w:pPr>
            <w:r>
              <w:rPr>
                <w:rFonts w:hint="eastAsia" w:ascii="微软雅黑" w:hAnsi="微软雅黑" w:eastAsia="微软雅黑" w:cs="微软雅黑"/>
              </w:rPr>
              <w:t>-</w:t>
            </w:r>
          </w:p>
        </w:tc>
      </w:tr>
      <w:tr w14:paraId="7AAF9F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0" w:hRule="atLeast"/>
        </w:trPr>
        <w:tc>
          <w:tcPr>
            <w:tcW w:w="1728"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2E66DAB9">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合计</w:t>
            </w:r>
          </w:p>
        </w:tc>
        <w:tc>
          <w:tcPr>
            <w:tcW w:w="3469"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0E385BA7">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856438</w:t>
            </w:r>
          </w:p>
        </w:tc>
        <w:tc>
          <w:tcPr>
            <w:tcW w:w="3470" w:type="dxa"/>
            <w:tcBorders>
              <w:top w:val="single" w:color="000000" w:sz="4" w:space="0"/>
              <w:left w:val="single" w:color="000000" w:sz="4" w:space="0"/>
              <w:bottom w:val="single" w:color="000000" w:sz="4" w:space="0"/>
              <w:right w:val="single" w:color="000000" w:sz="4" w:space="0"/>
            </w:tcBorders>
            <w:shd w:val="clear" w:color="auto" w:fill="FFFFFF"/>
            <w:tcMar>
              <w:left w:w="108" w:type="dxa"/>
              <w:right w:w="108" w:type="dxa"/>
            </w:tcMar>
            <w:vAlign w:val="center"/>
          </w:tcPr>
          <w:p w14:paraId="6765081D">
            <w:pPr>
              <w:keepNext w:val="0"/>
              <w:keepLines w:val="0"/>
              <w:pageBreakBefore w:val="0"/>
              <w:widowControl w:val="0"/>
              <w:kinsoku/>
              <w:wordWrap/>
              <w:overflowPunct/>
              <w:topLinePunct w:val="0"/>
              <w:autoSpaceDE/>
              <w:autoSpaceDN/>
              <w:bidi w:val="0"/>
              <w:adjustRightInd w:val="0"/>
              <w:snapToGrid w:val="0"/>
              <w:spacing w:line="20" w:lineRule="atLeast"/>
              <w:jc w:val="center"/>
              <w:textAlignment w:val="auto"/>
              <w:rPr>
                <w:rFonts w:hint="eastAsia" w:ascii="微软雅黑" w:hAnsi="微软雅黑" w:eastAsia="微软雅黑" w:cs="微软雅黑"/>
              </w:rPr>
            </w:pPr>
            <w:r>
              <w:rPr>
                <w:rFonts w:hint="eastAsia" w:ascii="微软雅黑" w:hAnsi="微软雅黑" w:eastAsia="微软雅黑" w:cs="微软雅黑"/>
              </w:rPr>
              <w:t>856438</w:t>
            </w:r>
          </w:p>
        </w:tc>
      </w:tr>
    </w:tbl>
    <w:p w14:paraId="57B6AA76">
      <w:pPr>
        <w:pStyle w:val="2"/>
        <w:jc w:val="center"/>
      </w:pPr>
      <w:r>
        <w:t>项目五</w:t>
      </w:r>
      <w:r>
        <w:rPr>
          <w:rFonts w:hint="eastAsia"/>
          <w:lang w:val="en-US" w:eastAsia="zh-CN"/>
        </w:rPr>
        <w:t xml:space="preserve">  </w:t>
      </w:r>
      <w:r>
        <w:t>各类账表的编制</w:t>
      </w:r>
    </w:p>
    <w:p w14:paraId="1EC9629A">
      <w:pPr>
        <w:pStyle w:val="3"/>
        <w:jc w:val="center"/>
      </w:pPr>
      <w:r>
        <w:t>任务三</w:t>
      </w:r>
      <w:r>
        <w:rPr>
          <w:rFonts w:hint="eastAsia"/>
          <w:lang w:val="en-US" w:eastAsia="zh-CN"/>
        </w:rPr>
        <w:t xml:space="preserve">  </w:t>
      </w:r>
      <w:r>
        <w:rPr>
          <w:rFonts w:hint="eastAsia"/>
        </w:rPr>
        <w:t>账户发生额与余额对照表编制训练</w:t>
      </w:r>
      <w:r>
        <mc:AlternateContent>
          <mc:Choice Requires="wps">
            <w:drawing>
              <wp:anchor distT="0" distB="0" distL="114300" distR="114300" simplePos="0" relativeHeight="251662336" behindDoc="1" locked="0" layoutInCell="1" allowOverlap="1">
                <wp:simplePos x="0" y="0"/>
                <wp:positionH relativeFrom="page">
                  <wp:posOffset>1096010</wp:posOffset>
                </wp:positionH>
                <wp:positionV relativeFrom="paragraph">
                  <wp:posOffset>237490</wp:posOffset>
                </wp:positionV>
                <wp:extent cx="5435600" cy="1998980"/>
                <wp:effectExtent l="4445" t="4445" r="8255" b="15875"/>
                <wp:wrapTopAndBottom/>
                <wp:docPr id="21" name="文本框 12"/>
                <wp:cNvGraphicFramePr/>
                <a:graphic xmlns:a="http://schemas.openxmlformats.org/drawingml/2006/main">
                  <a:graphicData uri="http://schemas.microsoft.com/office/word/2010/wordprocessingShape">
                    <wps:wsp>
                      <wps:cNvSpPr txBox="1"/>
                      <wps:spPr>
                        <a:xfrm>
                          <a:off x="0" y="0"/>
                          <a:ext cx="5435600" cy="1998980"/>
                        </a:xfrm>
                        <a:prstGeom prst="rect">
                          <a:avLst/>
                        </a:prstGeom>
                        <a:noFill/>
                        <a:ln w="6096" cap="flat" cmpd="sng">
                          <a:solidFill>
                            <a:srgbClr val="000000"/>
                          </a:solidFill>
                          <a:prstDash val="solid"/>
                          <a:miter/>
                          <a:headEnd type="none" w="med" len="med"/>
                          <a:tailEnd type="none" w="med" len="med"/>
                        </a:ln>
                      </wps:spPr>
                      <wps:txbx>
                        <w:txbxContent>
                          <w:p w14:paraId="376E0E0F">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教学目的：</w:t>
                            </w:r>
                            <w:r>
                              <w:rPr>
                                <w:rFonts w:hint="eastAsia" w:ascii="黑体" w:hAnsi="黑体" w:eastAsia="黑体" w:cs="黑体"/>
                                <w:b w:val="0"/>
                                <w:bCs/>
                                <w:sz w:val="24"/>
                                <w:szCs w:val="24"/>
                                <w:lang w:val="zh-CN" w:eastAsia="zh-CN" w:bidi="zh-CN"/>
                              </w:rPr>
                              <w:t>掌握</w:t>
                            </w:r>
                            <w:r>
                              <w:rPr>
                                <w:rFonts w:hint="eastAsia" w:ascii="黑体" w:hAnsi="黑体" w:eastAsia="黑体" w:cs="黑体"/>
                                <w:b w:val="0"/>
                                <w:bCs/>
                                <w:sz w:val="24"/>
                                <w:szCs w:val="24"/>
                                <w:lang w:val="en-US" w:eastAsia="zh-CN" w:bidi="zh-CN"/>
                              </w:rPr>
                              <w:t>总账与明细账的平行登记并进行实操；掌握账户发生额与余额对照表编制</w:t>
                            </w:r>
                            <w:r>
                              <w:rPr>
                                <w:rFonts w:hint="eastAsia" w:ascii="黑体" w:hAnsi="黑体" w:eastAsia="黑体" w:cs="黑体"/>
                                <w:b w:val="0"/>
                                <w:bCs/>
                                <w:sz w:val="24"/>
                                <w:szCs w:val="24"/>
                                <w:lang w:val="zh-CN" w:eastAsia="zh-CN" w:bidi="zh-CN"/>
                              </w:rPr>
                              <w:t>。</w:t>
                            </w:r>
                          </w:p>
                          <w:p w14:paraId="50DEF494">
                            <w:pPr>
                              <w:widowControl w:val="0"/>
                              <w:autoSpaceDE w:val="0"/>
                              <w:autoSpaceDN w:val="0"/>
                              <w:spacing w:before="0" w:after="0" w:line="360" w:lineRule="auto"/>
                              <w:ind w:left="80" w:right="74"/>
                              <w:jc w:val="left"/>
                              <w:rPr>
                                <w:rFonts w:hint="default" w:ascii="黑体" w:hAnsi="黑体" w:eastAsia="黑体" w:cs="黑体"/>
                                <w:b w:val="0"/>
                                <w:bCs/>
                                <w:sz w:val="24"/>
                                <w:szCs w:val="24"/>
                                <w:lang w:val="en-US" w:eastAsia="zh-CN" w:bidi="zh-CN"/>
                              </w:rPr>
                            </w:pPr>
                            <w:r>
                              <w:rPr>
                                <w:rFonts w:hint="eastAsia" w:ascii="黑体" w:hAnsi="黑体" w:eastAsia="黑体" w:cs="黑体"/>
                                <w:b/>
                                <w:sz w:val="24"/>
                                <w:szCs w:val="24"/>
                                <w:lang w:val="zh-CN" w:eastAsia="zh-CN" w:bidi="zh-CN"/>
                              </w:rPr>
                              <w:t>教学重点：</w:t>
                            </w:r>
                            <w:r>
                              <w:rPr>
                                <w:rFonts w:hint="eastAsia" w:ascii="黑体" w:hAnsi="黑体" w:eastAsia="黑体" w:cs="黑体"/>
                                <w:b w:val="0"/>
                                <w:bCs/>
                                <w:sz w:val="24"/>
                                <w:szCs w:val="24"/>
                                <w:lang w:val="en-US" w:eastAsia="zh-CN" w:bidi="zh-CN"/>
                              </w:rPr>
                              <w:t>记账凭证的内容、记账凭证审核的内容。</w:t>
                            </w:r>
                          </w:p>
                          <w:p w14:paraId="3E4C58DB">
                            <w:pPr>
                              <w:autoSpaceDE w:val="0"/>
                              <w:autoSpaceDN w:val="0"/>
                              <w:spacing w:before="0" w:after="0" w:line="360" w:lineRule="auto"/>
                              <w:ind w:left="80" w:right="1449" w:firstLine="0"/>
                              <w:jc w:val="left"/>
                              <w:rPr>
                                <w:rFonts w:hint="eastAsia" w:ascii="黑体" w:hAnsi="黑体" w:eastAsia="黑体" w:cs="黑体"/>
                                <w:b/>
                                <w:kern w:val="0"/>
                                <w:sz w:val="24"/>
                                <w:szCs w:val="24"/>
                                <w:lang w:val="en-US" w:eastAsia="zh-CN" w:bidi="zh-CN"/>
                              </w:rPr>
                            </w:pPr>
                            <w:r>
                              <w:rPr>
                                <w:rFonts w:hint="eastAsia" w:ascii="黑体" w:hAnsi="黑体" w:eastAsia="黑体" w:cs="黑体"/>
                                <w:b/>
                                <w:kern w:val="0"/>
                                <w:sz w:val="24"/>
                                <w:szCs w:val="24"/>
                                <w:lang w:val="zh-CN" w:bidi="zh-CN"/>
                              </w:rPr>
                              <w:t>教学难点：</w:t>
                            </w:r>
                            <w:r>
                              <w:rPr>
                                <w:rFonts w:hint="eastAsia" w:ascii="黑体" w:hAnsi="黑体" w:eastAsia="黑体" w:cs="黑体"/>
                                <w:b w:val="0"/>
                                <w:bCs/>
                                <w:kern w:val="0"/>
                                <w:sz w:val="24"/>
                                <w:szCs w:val="24"/>
                                <w:lang w:val="en-US" w:eastAsia="zh-CN" w:bidi="zh-CN"/>
                              </w:rPr>
                              <w:t>记账凭证审核的案例实操及要点。</w:t>
                            </w:r>
                          </w:p>
                          <w:p w14:paraId="7E547434">
                            <w:pPr>
                              <w:widowControl w:val="0"/>
                              <w:autoSpaceDE w:val="0"/>
                              <w:autoSpaceDN w:val="0"/>
                              <w:spacing w:before="0" w:after="0" w:line="360" w:lineRule="auto"/>
                              <w:ind w:left="80" w:right="0"/>
                              <w:jc w:val="left"/>
                              <w:rPr>
                                <w:rFonts w:hint="eastAsia" w:ascii="黑体" w:hAnsi="黑体" w:eastAsia="黑体" w:cs="黑体"/>
                                <w:b/>
                                <w:sz w:val="15"/>
                                <w:szCs w:val="21"/>
                                <w:lang w:val="zh-CN" w:eastAsia="zh-CN" w:bidi="zh-CN"/>
                              </w:rPr>
                            </w:pPr>
                            <w:r>
                              <w:rPr>
                                <w:rFonts w:hint="eastAsia" w:ascii="黑体" w:hAnsi="黑体" w:eastAsia="黑体" w:cs="黑体"/>
                                <w:b/>
                                <w:sz w:val="24"/>
                                <w:szCs w:val="24"/>
                                <w:lang w:val="zh-CN" w:eastAsia="zh-CN" w:bidi="zh-CN"/>
                              </w:rPr>
                              <w:t>教学方法：</w:t>
                            </w:r>
                            <w:r>
                              <w:rPr>
                                <w:rFonts w:hint="eastAsia" w:ascii="黑体" w:hAnsi="黑体" w:eastAsia="黑体" w:cs="黑体"/>
                                <w:sz w:val="24"/>
                                <w:szCs w:val="24"/>
                                <w:lang w:val="zh-CN" w:eastAsia="zh-CN" w:bidi="zh-CN"/>
                              </w:rPr>
                              <w:t>讲授法、PPT演示、案例法、实训法</w:t>
                            </w:r>
                          </w:p>
                          <w:p w14:paraId="21BEB070">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授课时数：</w:t>
                            </w:r>
                            <w:r>
                              <w:rPr>
                                <w:rFonts w:hint="eastAsia" w:ascii="黑体" w:hAnsi="黑体" w:eastAsia="黑体" w:cs="黑体"/>
                                <w:b w:val="0"/>
                                <w:bCs/>
                                <w:sz w:val="24"/>
                                <w:szCs w:val="24"/>
                                <w:lang w:val="zh-CN" w:eastAsia="zh-CN" w:bidi="zh-CN"/>
                              </w:rPr>
                              <w:t>2课时</w:t>
                            </w:r>
                          </w:p>
                        </w:txbxContent>
                      </wps:txbx>
                      <wps:bodyPr vert="horz" wrap="square" lIns="0" tIns="0" rIns="0" bIns="0" anchor="t" anchorCtr="0" upright="1">
                        <a:spAutoFit/>
                      </wps:bodyPr>
                    </wps:wsp>
                  </a:graphicData>
                </a:graphic>
              </wp:anchor>
            </w:drawing>
          </mc:Choice>
          <mc:Fallback>
            <w:pict>
              <v:shape id="文本框 12" o:spid="_x0000_s1026" o:spt="202" type="#_x0000_t202" style="position:absolute;left:0pt;margin-left:86.3pt;margin-top:18.7pt;height:157.4pt;width:428pt;mso-position-horizontal-relative:page;mso-wrap-distance-bottom:0pt;mso-wrap-distance-top:0pt;z-index:-251654144;mso-width-relative:page;mso-height-relative:page;" filled="f" stroked="t" coordsize="21600,21600" o:gfxdata="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IQBIYjaAAAACwEAAA8AAAAAAAAAAQAgAAAAIgAA&#10;AGRycy9kb3ducmV2LnhtbFBLAQIUABQAAAAIAIdO4kDMOFthPwIAAIEEAAAOAAAAAAAAAAEAIAAA&#10;ACkBAABkcnMvZTJvRG9jLnhtbFBLBQYAAAAABgAGAFkBAADaBQAAAAA=&#10;">
                <v:fill on="f" focussize="0,0"/>
                <v:stroke weight="0.48pt" color="#000000" joinstyle="miter"/>
                <v:imagedata o:title=""/>
                <o:lock v:ext="edit" aspectratio="f"/>
                <v:textbox inset="0mm,0mm,0mm,0mm" style="mso-fit-shape-to-text:t;">
                  <w:txbxContent>
                    <w:p w14:paraId="376E0E0F">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教学目的：</w:t>
                      </w:r>
                      <w:r>
                        <w:rPr>
                          <w:rFonts w:hint="eastAsia" w:ascii="黑体" w:hAnsi="黑体" w:eastAsia="黑体" w:cs="黑体"/>
                          <w:b w:val="0"/>
                          <w:bCs/>
                          <w:sz w:val="24"/>
                          <w:szCs w:val="24"/>
                          <w:lang w:val="zh-CN" w:eastAsia="zh-CN" w:bidi="zh-CN"/>
                        </w:rPr>
                        <w:t>掌握</w:t>
                      </w:r>
                      <w:r>
                        <w:rPr>
                          <w:rFonts w:hint="eastAsia" w:ascii="黑体" w:hAnsi="黑体" w:eastAsia="黑体" w:cs="黑体"/>
                          <w:b w:val="0"/>
                          <w:bCs/>
                          <w:sz w:val="24"/>
                          <w:szCs w:val="24"/>
                          <w:lang w:val="en-US" w:eastAsia="zh-CN" w:bidi="zh-CN"/>
                        </w:rPr>
                        <w:t>总账与明细账的平行登记并进行实操；掌握账户发生额与余额对照表编制</w:t>
                      </w:r>
                      <w:r>
                        <w:rPr>
                          <w:rFonts w:hint="eastAsia" w:ascii="黑体" w:hAnsi="黑体" w:eastAsia="黑体" w:cs="黑体"/>
                          <w:b w:val="0"/>
                          <w:bCs/>
                          <w:sz w:val="24"/>
                          <w:szCs w:val="24"/>
                          <w:lang w:val="zh-CN" w:eastAsia="zh-CN" w:bidi="zh-CN"/>
                        </w:rPr>
                        <w:t>。</w:t>
                      </w:r>
                    </w:p>
                    <w:p w14:paraId="50DEF494">
                      <w:pPr>
                        <w:widowControl w:val="0"/>
                        <w:autoSpaceDE w:val="0"/>
                        <w:autoSpaceDN w:val="0"/>
                        <w:spacing w:before="0" w:after="0" w:line="360" w:lineRule="auto"/>
                        <w:ind w:left="80" w:right="74"/>
                        <w:jc w:val="left"/>
                        <w:rPr>
                          <w:rFonts w:hint="default" w:ascii="黑体" w:hAnsi="黑体" w:eastAsia="黑体" w:cs="黑体"/>
                          <w:b w:val="0"/>
                          <w:bCs/>
                          <w:sz w:val="24"/>
                          <w:szCs w:val="24"/>
                          <w:lang w:val="en-US" w:eastAsia="zh-CN" w:bidi="zh-CN"/>
                        </w:rPr>
                      </w:pPr>
                      <w:r>
                        <w:rPr>
                          <w:rFonts w:hint="eastAsia" w:ascii="黑体" w:hAnsi="黑体" w:eastAsia="黑体" w:cs="黑体"/>
                          <w:b/>
                          <w:sz w:val="24"/>
                          <w:szCs w:val="24"/>
                          <w:lang w:val="zh-CN" w:eastAsia="zh-CN" w:bidi="zh-CN"/>
                        </w:rPr>
                        <w:t>教学重点：</w:t>
                      </w:r>
                      <w:r>
                        <w:rPr>
                          <w:rFonts w:hint="eastAsia" w:ascii="黑体" w:hAnsi="黑体" w:eastAsia="黑体" w:cs="黑体"/>
                          <w:b w:val="0"/>
                          <w:bCs/>
                          <w:sz w:val="24"/>
                          <w:szCs w:val="24"/>
                          <w:lang w:val="en-US" w:eastAsia="zh-CN" w:bidi="zh-CN"/>
                        </w:rPr>
                        <w:t>记账凭证的内容、记账凭证审核的内容。</w:t>
                      </w:r>
                    </w:p>
                    <w:p w14:paraId="3E4C58DB">
                      <w:pPr>
                        <w:autoSpaceDE w:val="0"/>
                        <w:autoSpaceDN w:val="0"/>
                        <w:spacing w:before="0" w:after="0" w:line="360" w:lineRule="auto"/>
                        <w:ind w:left="80" w:right="1449" w:firstLine="0"/>
                        <w:jc w:val="left"/>
                        <w:rPr>
                          <w:rFonts w:hint="eastAsia" w:ascii="黑体" w:hAnsi="黑体" w:eastAsia="黑体" w:cs="黑体"/>
                          <w:b/>
                          <w:kern w:val="0"/>
                          <w:sz w:val="24"/>
                          <w:szCs w:val="24"/>
                          <w:lang w:val="en-US" w:eastAsia="zh-CN" w:bidi="zh-CN"/>
                        </w:rPr>
                      </w:pPr>
                      <w:r>
                        <w:rPr>
                          <w:rFonts w:hint="eastAsia" w:ascii="黑体" w:hAnsi="黑体" w:eastAsia="黑体" w:cs="黑体"/>
                          <w:b/>
                          <w:kern w:val="0"/>
                          <w:sz w:val="24"/>
                          <w:szCs w:val="24"/>
                          <w:lang w:val="zh-CN" w:bidi="zh-CN"/>
                        </w:rPr>
                        <w:t>教学难点：</w:t>
                      </w:r>
                      <w:r>
                        <w:rPr>
                          <w:rFonts w:hint="eastAsia" w:ascii="黑体" w:hAnsi="黑体" w:eastAsia="黑体" w:cs="黑体"/>
                          <w:b w:val="0"/>
                          <w:bCs/>
                          <w:kern w:val="0"/>
                          <w:sz w:val="24"/>
                          <w:szCs w:val="24"/>
                          <w:lang w:val="en-US" w:eastAsia="zh-CN" w:bidi="zh-CN"/>
                        </w:rPr>
                        <w:t>记账凭证审核的案例实操及要点。</w:t>
                      </w:r>
                    </w:p>
                    <w:p w14:paraId="7E547434">
                      <w:pPr>
                        <w:widowControl w:val="0"/>
                        <w:autoSpaceDE w:val="0"/>
                        <w:autoSpaceDN w:val="0"/>
                        <w:spacing w:before="0" w:after="0" w:line="360" w:lineRule="auto"/>
                        <w:ind w:left="80" w:right="0"/>
                        <w:jc w:val="left"/>
                        <w:rPr>
                          <w:rFonts w:hint="eastAsia" w:ascii="黑体" w:hAnsi="黑体" w:eastAsia="黑体" w:cs="黑体"/>
                          <w:b/>
                          <w:sz w:val="15"/>
                          <w:szCs w:val="21"/>
                          <w:lang w:val="zh-CN" w:eastAsia="zh-CN" w:bidi="zh-CN"/>
                        </w:rPr>
                      </w:pPr>
                      <w:r>
                        <w:rPr>
                          <w:rFonts w:hint="eastAsia" w:ascii="黑体" w:hAnsi="黑体" w:eastAsia="黑体" w:cs="黑体"/>
                          <w:b/>
                          <w:sz w:val="24"/>
                          <w:szCs w:val="24"/>
                          <w:lang w:val="zh-CN" w:eastAsia="zh-CN" w:bidi="zh-CN"/>
                        </w:rPr>
                        <w:t>教学方法：</w:t>
                      </w:r>
                      <w:r>
                        <w:rPr>
                          <w:rFonts w:hint="eastAsia" w:ascii="黑体" w:hAnsi="黑体" w:eastAsia="黑体" w:cs="黑体"/>
                          <w:sz w:val="24"/>
                          <w:szCs w:val="24"/>
                          <w:lang w:val="zh-CN" w:eastAsia="zh-CN" w:bidi="zh-CN"/>
                        </w:rPr>
                        <w:t>讲授法、PPT演示、案例法、实训法</w:t>
                      </w:r>
                    </w:p>
                    <w:p w14:paraId="21BEB070">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授课时数：</w:t>
                      </w:r>
                      <w:r>
                        <w:rPr>
                          <w:rFonts w:hint="eastAsia" w:ascii="黑体" w:hAnsi="黑体" w:eastAsia="黑体" w:cs="黑体"/>
                          <w:b w:val="0"/>
                          <w:bCs/>
                          <w:sz w:val="24"/>
                          <w:szCs w:val="24"/>
                          <w:lang w:val="zh-CN" w:eastAsia="zh-CN" w:bidi="zh-CN"/>
                        </w:rPr>
                        <w:t>2课时</w:t>
                      </w:r>
                    </w:p>
                  </w:txbxContent>
                </v:textbox>
                <w10:wrap type="topAndBottom"/>
              </v:shape>
            </w:pict>
          </mc:Fallback>
        </mc:AlternateContent>
      </w:r>
    </w:p>
    <w:p w14:paraId="4D098754">
      <w:pPr>
        <w:pStyle w:val="4"/>
        <w:numPr>
          <w:ilvl w:val="0"/>
          <w:numId w:val="14"/>
        </w:numPr>
        <w:topLinePunct w:val="0"/>
        <w:ind w:left="0" w:leftChars="0" w:firstLine="0" w:firstLineChars="0"/>
        <w:rPr>
          <w:rFonts w:hint="eastAsia" w:ascii="黑体" w:hAnsi="黑体" w:eastAsia="黑体" w:cs="黑体"/>
          <w:b w:val="0"/>
        </w:rPr>
      </w:pPr>
      <w:r>
        <w:t>总账与明细账的平行登记</w:t>
      </w:r>
    </w:p>
    <w:p w14:paraId="7D15A998">
      <w:pPr>
        <w:pStyle w:val="11"/>
        <w:numPr>
          <w:ilvl w:val="0"/>
          <w:numId w:val="15"/>
        </w:numPr>
        <w:ind w:left="0" w:leftChars="0" w:firstLine="480" w:firstLineChars="0"/>
        <w:rPr>
          <w:rFonts w:hint="eastAsia" w:ascii="宋体" w:hAnsi="宋体" w:eastAsia="宋体" w:cs="宋体"/>
          <w:b w:val="0"/>
          <w:color w:val="000000" w:themeColor="text1"/>
          <w14:textFill>
            <w14:solidFill>
              <w14:schemeClr w14:val="tx1"/>
            </w14:solidFill>
          </w14:textFill>
        </w:rPr>
      </w:pPr>
      <w:r>
        <w:rPr>
          <w:b w:val="0"/>
          <w:color w:val="000000" w:themeColor="text1"/>
          <w14:textFill>
            <w14:solidFill>
              <w14:schemeClr w14:val="tx1"/>
            </w14:solidFill>
          </w14:textFill>
        </w:rPr>
        <w:t>前进厂20*4年6月份总分类账和明细分类账有关账户的月初余额如下:</w:t>
      </w:r>
    </w:p>
    <w:p w14:paraId="191634B9">
      <w:pPr>
        <w:pStyle w:val="19"/>
      </w:pPr>
      <w:r>
        <w:t>表5.6原材料明细分类账的月初余额表</w:t>
      </w:r>
    </w:p>
    <w:tbl>
      <w:tblPr>
        <w:tblStyle w:val="17"/>
        <w:tblW w:w="5000" w:type="pct"/>
        <w:tblInd w:w="0" w:type="dxa"/>
        <w:tblLayout w:type="autofit"/>
        <w:tblCellMar>
          <w:top w:w="0" w:type="dxa"/>
          <w:left w:w="0" w:type="dxa"/>
          <w:bottom w:w="0" w:type="dxa"/>
          <w:right w:w="0" w:type="dxa"/>
        </w:tblCellMar>
      </w:tblPr>
      <w:tblGrid>
        <w:gridCol w:w="1763"/>
        <w:gridCol w:w="2043"/>
        <w:gridCol w:w="2672"/>
        <w:gridCol w:w="2044"/>
      </w:tblGrid>
      <w:tr w14:paraId="4D9E0F01">
        <w:tblPrEx>
          <w:tblCellMar>
            <w:top w:w="0" w:type="dxa"/>
            <w:left w:w="0" w:type="dxa"/>
            <w:bottom w:w="0" w:type="dxa"/>
            <w:right w:w="0" w:type="dxa"/>
          </w:tblCellMar>
        </w:tblPrEx>
        <w:tc>
          <w:tcPr>
            <w:tcW w:w="103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B2CE7B6">
            <w:pPr>
              <w:jc w:val="center"/>
              <w:rPr>
                <w:b/>
              </w:rPr>
            </w:pPr>
            <w:r>
              <w:rPr>
                <w:b/>
              </w:rPr>
              <w:t>名称</w:t>
            </w:r>
          </w:p>
        </w:tc>
        <w:tc>
          <w:tcPr>
            <w:tcW w:w="11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B26B7F9">
            <w:pPr>
              <w:jc w:val="center"/>
              <w:rPr>
                <w:b/>
              </w:rPr>
            </w:pPr>
            <w:r>
              <w:rPr>
                <w:b/>
              </w:rPr>
              <w:t>数量(吨)</w:t>
            </w:r>
          </w:p>
        </w:tc>
        <w:tc>
          <w:tcPr>
            <w:tcW w:w="156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7DA4C0A">
            <w:pPr>
              <w:jc w:val="center"/>
              <w:rPr>
                <w:b/>
              </w:rPr>
            </w:pPr>
            <w:r>
              <w:rPr>
                <w:b/>
              </w:rPr>
              <w:t>单价(元/吨)</w:t>
            </w:r>
          </w:p>
        </w:tc>
        <w:tc>
          <w:tcPr>
            <w:tcW w:w="119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201B4D5">
            <w:pPr>
              <w:jc w:val="center"/>
              <w:rPr>
                <w:b/>
              </w:rPr>
            </w:pPr>
            <w:r>
              <w:rPr>
                <w:b/>
              </w:rPr>
              <w:t>金额(元)</w:t>
            </w:r>
          </w:p>
        </w:tc>
      </w:tr>
      <w:tr w14:paraId="610B7F84">
        <w:tblPrEx>
          <w:tblCellMar>
            <w:top w:w="0" w:type="dxa"/>
            <w:left w:w="0" w:type="dxa"/>
            <w:bottom w:w="0" w:type="dxa"/>
            <w:right w:w="0" w:type="dxa"/>
          </w:tblCellMar>
        </w:tblPrEx>
        <w:tc>
          <w:tcPr>
            <w:tcW w:w="103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B846159">
            <w:pPr>
              <w:jc w:val="center"/>
            </w:pPr>
            <w:r>
              <w:t>甲材料</w:t>
            </w:r>
          </w:p>
        </w:tc>
        <w:tc>
          <w:tcPr>
            <w:tcW w:w="11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0474B7E">
            <w:pPr>
              <w:jc w:val="center"/>
            </w:pPr>
            <w:r>
              <w:t>80</w:t>
            </w:r>
          </w:p>
        </w:tc>
        <w:tc>
          <w:tcPr>
            <w:tcW w:w="156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9B4E67C">
            <w:pPr>
              <w:jc w:val="center"/>
            </w:pPr>
            <w:r>
              <w:t>500</w:t>
            </w:r>
          </w:p>
        </w:tc>
        <w:tc>
          <w:tcPr>
            <w:tcW w:w="119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DA50475">
            <w:pPr>
              <w:jc w:val="center"/>
            </w:pPr>
            <w:r>
              <w:t>40000</w:t>
            </w:r>
          </w:p>
        </w:tc>
      </w:tr>
      <w:tr w14:paraId="7B4ED0B5">
        <w:tblPrEx>
          <w:tblCellMar>
            <w:top w:w="0" w:type="dxa"/>
            <w:left w:w="0" w:type="dxa"/>
            <w:bottom w:w="0" w:type="dxa"/>
            <w:right w:w="0" w:type="dxa"/>
          </w:tblCellMar>
        </w:tblPrEx>
        <w:tc>
          <w:tcPr>
            <w:tcW w:w="103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030A35E">
            <w:pPr>
              <w:jc w:val="center"/>
            </w:pPr>
            <w:r>
              <w:t>乙材料</w:t>
            </w:r>
          </w:p>
        </w:tc>
        <w:tc>
          <w:tcPr>
            <w:tcW w:w="11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090C07C">
            <w:pPr>
              <w:jc w:val="center"/>
            </w:pPr>
            <w:r>
              <w:t>150</w:t>
            </w:r>
          </w:p>
        </w:tc>
        <w:tc>
          <w:tcPr>
            <w:tcW w:w="156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DBD47CA">
            <w:pPr>
              <w:jc w:val="center"/>
            </w:pPr>
            <w:r>
              <w:t>200</w:t>
            </w:r>
          </w:p>
        </w:tc>
        <w:tc>
          <w:tcPr>
            <w:tcW w:w="119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4D8AE04">
            <w:pPr>
              <w:jc w:val="center"/>
            </w:pPr>
            <w:r>
              <w:t>30000</w:t>
            </w:r>
          </w:p>
        </w:tc>
      </w:tr>
      <w:tr w14:paraId="14EA20AD">
        <w:tblPrEx>
          <w:tblCellMar>
            <w:top w:w="0" w:type="dxa"/>
            <w:left w:w="0" w:type="dxa"/>
            <w:bottom w:w="0" w:type="dxa"/>
            <w:right w:w="0" w:type="dxa"/>
          </w:tblCellMar>
        </w:tblPrEx>
        <w:tc>
          <w:tcPr>
            <w:tcW w:w="103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134D809">
            <w:pPr>
              <w:jc w:val="center"/>
            </w:pPr>
            <w:r>
              <w:t>合计</w:t>
            </w:r>
          </w:p>
        </w:tc>
        <w:tc>
          <w:tcPr>
            <w:tcW w:w="11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94CF4F6">
            <w:pPr>
              <w:jc w:val="center"/>
            </w:pPr>
          </w:p>
        </w:tc>
        <w:tc>
          <w:tcPr>
            <w:tcW w:w="156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ED3F762">
            <w:pPr>
              <w:jc w:val="center"/>
            </w:pPr>
          </w:p>
        </w:tc>
        <w:tc>
          <w:tcPr>
            <w:tcW w:w="119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149B421">
            <w:pPr>
              <w:jc w:val="center"/>
            </w:pPr>
            <w:r>
              <w:t>70000</w:t>
            </w:r>
          </w:p>
        </w:tc>
      </w:tr>
    </w:tbl>
    <w:p w14:paraId="65623A18">
      <w:pPr>
        <w:pStyle w:val="11"/>
      </w:pPr>
      <w:r>
        <w:t>应付账款总分类账户为贷方余额50000元,其所属明细分类账的月初余额如表5.7所示：</w:t>
      </w:r>
    </w:p>
    <w:p w14:paraId="258B9734">
      <w:pPr>
        <w:pStyle w:val="19"/>
        <w:jc w:val="center"/>
      </w:pPr>
      <w:r>
        <w:t>表5.7应付账款明细分类账的月初余额表</w:t>
      </w:r>
    </w:p>
    <w:tbl>
      <w:tblPr>
        <w:tblStyle w:val="17"/>
        <w:tblW w:w="5000" w:type="pct"/>
        <w:tblInd w:w="0" w:type="dxa"/>
        <w:tblLayout w:type="autofit"/>
        <w:tblCellMar>
          <w:top w:w="0" w:type="dxa"/>
          <w:left w:w="0" w:type="dxa"/>
          <w:bottom w:w="0" w:type="dxa"/>
          <w:right w:w="0" w:type="dxa"/>
        </w:tblCellMar>
      </w:tblPr>
      <w:tblGrid>
        <w:gridCol w:w="4812"/>
        <w:gridCol w:w="3710"/>
      </w:tblGrid>
      <w:tr w14:paraId="37B6B996">
        <w:tblPrEx>
          <w:tblCellMar>
            <w:top w:w="0" w:type="dxa"/>
            <w:left w:w="0" w:type="dxa"/>
            <w:bottom w:w="0" w:type="dxa"/>
            <w:right w:w="0" w:type="dxa"/>
          </w:tblCellMar>
        </w:tblPrEx>
        <w:tc>
          <w:tcPr>
            <w:tcW w:w="282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4BA49E6">
            <w:pPr>
              <w:jc w:val="center"/>
              <w:rPr>
                <w:b/>
              </w:rPr>
            </w:pPr>
            <w:r>
              <w:rPr>
                <w:b/>
              </w:rPr>
              <w:t>明细账名称</w:t>
            </w:r>
          </w:p>
        </w:tc>
        <w:tc>
          <w:tcPr>
            <w:tcW w:w="217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83BB951">
            <w:pPr>
              <w:jc w:val="center"/>
              <w:rPr>
                <w:b/>
              </w:rPr>
            </w:pPr>
            <w:r>
              <w:rPr>
                <w:b/>
              </w:rPr>
              <w:t>金额(元)</w:t>
            </w:r>
          </w:p>
        </w:tc>
      </w:tr>
      <w:tr w14:paraId="7341C9AD">
        <w:tblPrEx>
          <w:tblCellMar>
            <w:top w:w="0" w:type="dxa"/>
            <w:left w:w="0" w:type="dxa"/>
            <w:bottom w:w="0" w:type="dxa"/>
            <w:right w:w="0" w:type="dxa"/>
          </w:tblCellMar>
        </w:tblPrEx>
        <w:tc>
          <w:tcPr>
            <w:tcW w:w="282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B7B0902">
            <w:pPr>
              <w:jc w:val="center"/>
            </w:pPr>
            <w:r>
              <w:t>向阳工厂</w:t>
            </w:r>
          </w:p>
        </w:tc>
        <w:tc>
          <w:tcPr>
            <w:tcW w:w="217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5247AC1">
            <w:pPr>
              <w:jc w:val="center"/>
            </w:pPr>
            <w:r>
              <w:t>30000</w:t>
            </w:r>
          </w:p>
        </w:tc>
      </w:tr>
      <w:tr w14:paraId="18AB5669">
        <w:tblPrEx>
          <w:tblCellMar>
            <w:top w:w="0" w:type="dxa"/>
            <w:left w:w="0" w:type="dxa"/>
            <w:bottom w:w="0" w:type="dxa"/>
            <w:right w:w="0" w:type="dxa"/>
          </w:tblCellMar>
        </w:tblPrEx>
        <w:tc>
          <w:tcPr>
            <w:tcW w:w="282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BADFB40">
            <w:pPr>
              <w:jc w:val="center"/>
            </w:pPr>
            <w:r>
              <w:t>新乡工厂</w:t>
            </w:r>
          </w:p>
        </w:tc>
        <w:tc>
          <w:tcPr>
            <w:tcW w:w="217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90B1511">
            <w:pPr>
              <w:jc w:val="center"/>
            </w:pPr>
            <w:r>
              <w:t>20000</w:t>
            </w:r>
          </w:p>
        </w:tc>
      </w:tr>
      <w:tr w14:paraId="61B0C9F0">
        <w:tblPrEx>
          <w:tblCellMar>
            <w:top w:w="0" w:type="dxa"/>
            <w:left w:w="0" w:type="dxa"/>
            <w:bottom w:w="0" w:type="dxa"/>
            <w:right w:w="0" w:type="dxa"/>
          </w:tblCellMar>
        </w:tblPrEx>
        <w:tc>
          <w:tcPr>
            <w:tcW w:w="2823"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44DF622">
            <w:pPr>
              <w:jc w:val="center"/>
            </w:pPr>
            <w:r>
              <w:t>合计</w:t>
            </w:r>
          </w:p>
        </w:tc>
        <w:tc>
          <w:tcPr>
            <w:tcW w:w="217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3A91DBA">
            <w:pPr>
              <w:jc w:val="center"/>
            </w:pPr>
            <w:r>
              <w:t>50000</w:t>
            </w:r>
          </w:p>
        </w:tc>
      </w:tr>
    </w:tbl>
    <w:p w14:paraId="5AFF0498">
      <w:pPr>
        <w:pStyle w:val="11"/>
        <w:numPr>
          <w:ilvl w:val="0"/>
          <w:numId w:val="15"/>
        </w:numPr>
        <w:ind w:left="0" w:leftChars="0" w:firstLine="480" w:firstLineChars="0"/>
        <w:rPr>
          <w:rFonts w:hint="eastAsia" w:ascii="宋体" w:hAnsi="宋体" w:eastAsia="宋体" w:cs="宋体"/>
          <w:b w:val="0"/>
        </w:rPr>
      </w:pPr>
      <w:r>
        <w:t>假设6月份发生以下材料收发业务及与供应单位的结算业务(材料采用实际成本法核算):</w:t>
      </w:r>
    </w:p>
    <w:p w14:paraId="38BA2950">
      <w:pPr>
        <w:pStyle w:val="11"/>
        <w:numPr>
          <w:ilvl w:val="0"/>
          <w:numId w:val="16"/>
        </w:numPr>
        <w:ind w:left="0" w:leftChars="0" w:firstLine="480" w:firstLineChars="0"/>
        <w:rPr>
          <w:b w:val="0"/>
        </w:rPr>
      </w:pPr>
      <w:r>
        <w:t>8日,从向阳工厂购进甲材料100吨,单价500元/吨,计50000元,增值税进项税额为6500元,材料已验收入库,货款未付。</w:t>
      </w:r>
    </w:p>
    <w:p w14:paraId="2514866B">
      <w:pPr>
        <w:pStyle w:val="11"/>
        <w:numPr>
          <w:ilvl w:val="0"/>
          <w:numId w:val="16"/>
        </w:numPr>
        <w:ind w:left="0" w:leftChars="0" w:firstLine="480" w:firstLineChars="0"/>
        <w:rPr>
          <w:b w:val="0"/>
        </w:rPr>
      </w:pPr>
      <w:r>
        <w:t>10日,从新乡工厂购进乙材料120吨,单价200元/吨,计24000元,增值税进项税额为3120元,材料已验收入库,货款未付。</w:t>
      </w:r>
    </w:p>
    <w:p w14:paraId="745ED627">
      <w:pPr>
        <w:pStyle w:val="11"/>
        <w:numPr>
          <w:ilvl w:val="0"/>
          <w:numId w:val="16"/>
        </w:numPr>
        <w:ind w:left="0" w:leftChars="0" w:firstLine="480" w:firstLineChars="0"/>
        <w:rPr>
          <w:b w:val="0"/>
        </w:rPr>
      </w:pPr>
      <w:r>
        <w:t>16日,仓库发出甲材料150吨,单价500元/吨,计75000元;发出乙材料200吨,单价200元/吨,计40000元。上述材料直接用于制造产品。</w:t>
      </w:r>
    </w:p>
    <w:p w14:paraId="6D519C07">
      <w:pPr>
        <w:pStyle w:val="11"/>
        <w:numPr>
          <w:ilvl w:val="0"/>
          <w:numId w:val="16"/>
        </w:numPr>
        <w:ind w:left="0" w:leftChars="0" w:firstLine="480" w:firstLineChars="0"/>
        <w:rPr>
          <w:b w:val="0"/>
        </w:rPr>
      </w:pPr>
      <w:r>
        <w:t>25日,通过银行结算偿还向阳工厂货款60000元、新乡工厂货款34000元,共计94000元。</w:t>
      </w:r>
    </w:p>
    <w:p w14:paraId="7B384AB2">
      <w:pPr>
        <w:pStyle w:val="11"/>
        <w:numPr>
          <w:ilvl w:val="0"/>
          <w:numId w:val="17"/>
        </w:numPr>
        <w:ind w:left="0" w:leftChars="0" w:firstLine="480" w:firstLineChars="0"/>
        <w:rPr>
          <w:rFonts w:hint="eastAsia" w:ascii="宋体" w:hAnsi="宋体" w:eastAsia="宋体" w:cs="宋体"/>
          <w:b w:val="0"/>
        </w:rPr>
      </w:pPr>
      <w:r>
        <w:t>根据资料开设“原材料”“应付账款”总分类账户与明细分类账户,登记月初余额。其中,本月记账凭证编号按业务发生的时间先后顺序从记字号1号、记字号2号向后顺序编号。</w:t>
      </w:r>
    </w:p>
    <w:p w14:paraId="169D356D">
      <w:pPr>
        <w:pStyle w:val="11"/>
        <w:numPr>
          <w:ilvl w:val="0"/>
          <w:numId w:val="17"/>
        </w:numPr>
        <w:ind w:left="0" w:leftChars="0" w:firstLine="480" w:firstLineChars="0"/>
        <w:rPr>
          <w:rFonts w:hint="eastAsia" w:ascii="宋体" w:hAnsi="宋体" w:eastAsia="宋体" w:cs="宋体"/>
          <w:b w:val="0"/>
        </w:rPr>
      </w:pPr>
      <w:r>
        <w:t>根据资料所列经济业务编制会计分录,并据以登记“原材料”和“应付账款”总分类账户与明细分类账户(其他账户从略)。</w:t>
      </w:r>
    </w:p>
    <w:p w14:paraId="191329E0">
      <w:pPr>
        <w:pStyle w:val="11"/>
        <w:numPr>
          <w:ilvl w:val="0"/>
          <w:numId w:val="17"/>
        </w:numPr>
        <w:ind w:left="0" w:leftChars="0" w:firstLine="480" w:firstLineChars="0"/>
        <w:rPr>
          <w:rFonts w:hint="eastAsia" w:ascii="宋体" w:hAnsi="宋体" w:eastAsia="宋体" w:cs="宋体"/>
          <w:b w:val="0"/>
        </w:rPr>
      </w:pPr>
      <w:r>
        <w:t>计算“原材料”和“应付账款”总分类账户与明细分类账户的本期发生额及月末余额,并编制总分类账户与明细分类账户发生额及余额对照表(表5.8~表5.15)。</w:t>
      </w:r>
    </w:p>
    <w:p w14:paraId="2A4AA23E">
      <w:pPr>
        <w:pStyle w:val="11"/>
      </w:pPr>
      <w:r>
        <w:t>步骤一：编制分录</w:t>
      </w:r>
    </w:p>
    <w:p w14:paraId="7BF1D602">
      <w:pPr>
        <w:pStyle w:val="11"/>
        <w:numPr>
          <w:ilvl w:val="0"/>
          <w:numId w:val="18"/>
        </w:numPr>
        <w:ind w:left="0" w:leftChars="0" w:firstLine="480" w:firstLineChars="0"/>
        <w:rPr>
          <w:b w:val="0"/>
        </w:rPr>
      </w:pPr>
      <w:r>
        <w:t>8日,从向阳工厂购进甲材料100吨,单价500元/吨,计50000元,增值税进项税额为6500元,材料已验收入库,货款未付。</w:t>
      </w:r>
      <w:r>
        <w:rPr>
          <w:rFonts w:hint="eastAsia"/>
          <w:lang w:eastAsia="zh-CN"/>
        </w:rPr>
        <w:t>（</w:t>
      </w:r>
      <w:r>
        <w:rPr>
          <w:rFonts w:hint="eastAsia"/>
          <w:lang w:val="en-US" w:eastAsia="zh-CN"/>
        </w:rPr>
        <w:t>记字1号</w:t>
      </w:r>
      <w:r>
        <w:rPr>
          <w:rFonts w:hint="eastAsia"/>
          <w:lang w:eastAsia="zh-CN"/>
        </w:rPr>
        <w:t>）</w:t>
      </w:r>
    </w:p>
    <w:p w14:paraId="1B37FA75">
      <w:pPr>
        <w:pStyle w:val="11"/>
        <w:rPr>
          <w:rFonts w:hint="eastAsia"/>
        </w:rPr>
      </w:pPr>
      <w:r>
        <w:rPr>
          <w:rFonts w:hint="eastAsia"/>
        </w:rPr>
        <w:t>借：原材料-甲材料</w:t>
      </w:r>
      <w:r>
        <w:rPr>
          <w:rFonts w:hint="eastAsia"/>
          <w:lang w:val="en-US" w:eastAsia="zh-CN"/>
        </w:rPr>
        <w:t xml:space="preserve">                  </w:t>
      </w:r>
      <w:r>
        <w:rPr>
          <w:rFonts w:hint="eastAsia"/>
        </w:rPr>
        <w:t>50</w:t>
      </w:r>
      <w:r>
        <w:rPr>
          <w:rFonts w:hint="eastAsia"/>
          <w:lang w:val="en-US" w:eastAsia="zh-CN"/>
        </w:rPr>
        <w:t>00</w:t>
      </w:r>
      <w:r>
        <w:rPr>
          <w:rFonts w:hint="eastAsia"/>
        </w:rPr>
        <w:t>0</w:t>
      </w:r>
    </w:p>
    <w:p w14:paraId="20CDDD3F">
      <w:pPr>
        <w:pStyle w:val="11"/>
        <w:ind w:firstLine="960" w:firstLineChars="400"/>
        <w:rPr>
          <w:rFonts w:hint="eastAsia"/>
        </w:rPr>
      </w:pPr>
      <w:r>
        <w:rPr>
          <w:rFonts w:hint="eastAsia"/>
        </w:rPr>
        <w:t>应交税费-应交增值税（进项税额）6500</w:t>
      </w:r>
    </w:p>
    <w:p w14:paraId="1C5B0479">
      <w:pPr>
        <w:pStyle w:val="11"/>
        <w:ind w:firstLine="960" w:firstLineChars="400"/>
        <w:rPr>
          <w:rFonts w:hint="eastAsia"/>
        </w:rPr>
      </w:pPr>
      <w:r>
        <w:rPr>
          <w:rFonts w:hint="eastAsia"/>
        </w:rPr>
        <w:t>贷：应付账款-向阳工厂</w:t>
      </w:r>
      <w:r>
        <w:rPr>
          <w:rFonts w:hint="eastAsia"/>
          <w:lang w:val="en-US" w:eastAsia="zh-CN"/>
        </w:rPr>
        <w:t xml:space="preserve">                </w:t>
      </w:r>
      <w:r>
        <w:rPr>
          <w:rFonts w:hint="eastAsia"/>
        </w:rPr>
        <w:t>56500</w:t>
      </w:r>
    </w:p>
    <w:p w14:paraId="26855374">
      <w:pPr>
        <w:pStyle w:val="11"/>
        <w:numPr>
          <w:ilvl w:val="0"/>
          <w:numId w:val="18"/>
        </w:numPr>
        <w:ind w:left="0" w:leftChars="0" w:firstLine="480" w:firstLineChars="0"/>
        <w:rPr>
          <w:b w:val="0"/>
        </w:rPr>
      </w:pPr>
      <w:r>
        <w:t>10日,从新乡工厂购进乙材料120吨,单价200元/吨,计24000元,增值税进项税额为3120元,材料已验收入库,货款未付。</w:t>
      </w:r>
      <w:r>
        <w:rPr>
          <w:rFonts w:hint="eastAsia"/>
          <w:lang w:eastAsia="zh-CN"/>
        </w:rPr>
        <w:t>（</w:t>
      </w:r>
      <w:r>
        <w:rPr>
          <w:rFonts w:hint="eastAsia"/>
          <w:lang w:val="en-US" w:eastAsia="zh-CN"/>
        </w:rPr>
        <w:t>记字2号</w:t>
      </w:r>
      <w:r>
        <w:rPr>
          <w:rFonts w:hint="eastAsia"/>
          <w:lang w:eastAsia="zh-CN"/>
        </w:rPr>
        <w:t>）</w:t>
      </w:r>
    </w:p>
    <w:p w14:paraId="7655D1E8">
      <w:pPr>
        <w:pStyle w:val="11"/>
        <w:rPr>
          <w:rFonts w:hint="eastAsia"/>
        </w:rPr>
      </w:pPr>
      <w:r>
        <w:rPr>
          <w:rFonts w:hint="eastAsia"/>
        </w:rPr>
        <w:t>借：原材料-乙材料</w:t>
      </w:r>
      <w:r>
        <w:rPr>
          <w:rFonts w:hint="eastAsia"/>
          <w:lang w:val="en-US" w:eastAsia="zh-CN"/>
        </w:rPr>
        <w:t xml:space="preserve">                  </w:t>
      </w:r>
      <w:r>
        <w:rPr>
          <w:rFonts w:hint="eastAsia"/>
        </w:rPr>
        <w:t>24000</w:t>
      </w:r>
    </w:p>
    <w:p w14:paraId="7F5D7962">
      <w:pPr>
        <w:pStyle w:val="11"/>
        <w:ind w:firstLine="960" w:firstLineChars="400"/>
        <w:rPr>
          <w:rFonts w:hint="eastAsia"/>
        </w:rPr>
      </w:pPr>
      <w:r>
        <w:rPr>
          <w:rFonts w:hint="eastAsia"/>
        </w:rPr>
        <w:t>应交税费-应交增值税（进项税额）3120</w:t>
      </w:r>
    </w:p>
    <w:p w14:paraId="26119B5D">
      <w:pPr>
        <w:pStyle w:val="11"/>
        <w:ind w:firstLine="960" w:firstLineChars="400"/>
        <w:rPr>
          <w:rFonts w:hint="eastAsia" w:eastAsia="宋体"/>
          <w:lang w:eastAsia="zh-CN"/>
        </w:rPr>
      </w:pPr>
      <w:r>
        <w:rPr>
          <w:rFonts w:hint="eastAsia"/>
        </w:rPr>
        <w:t>贷：应付账款-新乡工厂</w:t>
      </w:r>
      <w:r>
        <w:rPr>
          <w:rFonts w:hint="eastAsia"/>
          <w:lang w:val="en-US" w:eastAsia="zh-CN"/>
        </w:rPr>
        <w:t xml:space="preserve">                 </w:t>
      </w:r>
      <w:r>
        <w:rPr>
          <w:rFonts w:hint="eastAsia"/>
        </w:rPr>
        <w:t>27120</w:t>
      </w:r>
    </w:p>
    <w:p w14:paraId="4A107AEC">
      <w:pPr>
        <w:pStyle w:val="11"/>
        <w:numPr>
          <w:ilvl w:val="0"/>
          <w:numId w:val="18"/>
        </w:numPr>
        <w:ind w:left="0" w:leftChars="0" w:firstLine="480" w:firstLineChars="0"/>
        <w:rPr>
          <w:b w:val="0"/>
        </w:rPr>
      </w:pPr>
      <w:r>
        <w:t>16日,仓库发出甲材料150吨,单价500元/吨,计75000元;发出乙材料200吨,单价200元/吨,计40000元。上述材料直接用于制造产品。</w:t>
      </w:r>
      <w:r>
        <w:rPr>
          <w:rFonts w:hint="eastAsia"/>
          <w:lang w:eastAsia="zh-CN"/>
        </w:rPr>
        <w:t>（</w:t>
      </w:r>
      <w:r>
        <w:rPr>
          <w:rFonts w:hint="eastAsia"/>
          <w:lang w:val="en-US" w:eastAsia="zh-CN"/>
        </w:rPr>
        <w:t>记字3号</w:t>
      </w:r>
      <w:r>
        <w:rPr>
          <w:rFonts w:hint="eastAsia"/>
          <w:lang w:eastAsia="zh-CN"/>
        </w:rPr>
        <w:t>）</w:t>
      </w:r>
    </w:p>
    <w:p w14:paraId="3985CDF5">
      <w:pPr>
        <w:pStyle w:val="11"/>
      </w:pPr>
      <w:r>
        <w:t>借：生产成本</w:t>
      </w:r>
      <w:r>
        <w:rPr>
          <w:rFonts w:hint="eastAsia"/>
          <w:lang w:val="en-US" w:eastAsia="zh-CN"/>
        </w:rPr>
        <w:t xml:space="preserve">   </w:t>
      </w:r>
      <w:r>
        <w:t>115000</w:t>
      </w:r>
    </w:p>
    <w:p w14:paraId="2BCA78AA">
      <w:pPr>
        <w:pStyle w:val="11"/>
        <w:ind w:firstLine="960" w:firstLineChars="400"/>
      </w:pPr>
      <w:r>
        <w:t>贷：原材料-甲材料</w:t>
      </w:r>
      <w:r>
        <w:rPr>
          <w:rFonts w:hint="eastAsia"/>
          <w:lang w:val="en-US" w:eastAsia="zh-CN"/>
        </w:rPr>
        <w:t xml:space="preserve">    </w:t>
      </w:r>
      <w:r>
        <w:t>75000</w:t>
      </w:r>
    </w:p>
    <w:p w14:paraId="12325838">
      <w:pPr>
        <w:pStyle w:val="11"/>
        <w:ind w:firstLine="1440" w:firstLineChars="600"/>
        <w:rPr>
          <w:rFonts w:hint="eastAsia"/>
          <w:sz w:val="21"/>
          <w:szCs w:val="24"/>
          <w:lang w:val="en-US" w:eastAsia="zh-CN"/>
        </w:rPr>
      </w:pPr>
      <w:r>
        <w:rPr>
          <w:rFonts w:hint="eastAsia"/>
        </w:rPr>
        <w:t>原材料-乙材料</w:t>
      </w:r>
      <w:r>
        <w:rPr>
          <w:rFonts w:hint="eastAsia"/>
          <w:lang w:val="en-US" w:eastAsia="zh-CN"/>
        </w:rPr>
        <w:t xml:space="preserve">    </w:t>
      </w:r>
      <w:r>
        <w:rPr>
          <w:rFonts w:hint="eastAsia"/>
        </w:rPr>
        <w:t>40000</w:t>
      </w:r>
    </w:p>
    <w:p w14:paraId="7F6905B6">
      <w:pPr>
        <w:pStyle w:val="11"/>
        <w:numPr>
          <w:ilvl w:val="0"/>
          <w:numId w:val="18"/>
        </w:numPr>
        <w:ind w:left="0" w:leftChars="0" w:firstLine="480" w:firstLineChars="0"/>
        <w:rPr>
          <w:b w:val="0"/>
        </w:rPr>
      </w:pPr>
      <w:r>
        <w:t>25日,通过银行结算偿还向阳工厂货款60000元、新乡工厂货款34000元,共计94000元。</w:t>
      </w:r>
      <w:r>
        <w:rPr>
          <w:rFonts w:hint="eastAsia"/>
          <w:lang w:eastAsia="zh-CN"/>
        </w:rPr>
        <w:t>（</w:t>
      </w:r>
      <w:r>
        <w:rPr>
          <w:rFonts w:hint="eastAsia"/>
          <w:lang w:val="en-US" w:eastAsia="zh-CN"/>
        </w:rPr>
        <w:t>记字4号</w:t>
      </w:r>
      <w:r>
        <w:rPr>
          <w:rFonts w:hint="eastAsia"/>
          <w:lang w:eastAsia="zh-CN"/>
        </w:rPr>
        <w:t>）</w:t>
      </w:r>
    </w:p>
    <w:p w14:paraId="2C5FEB95">
      <w:pPr>
        <w:pStyle w:val="11"/>
      </w:pPr>
      <w:r>
        <w:t>借：应付账款-向阳工厂</w:t>
      </w:r>
      <w:r>
        <w:rPr>
          <w:rFonts w:hint="eastAsia"/>
          <w:lang w:val="en-US" w:eastAsia="zh-CN"/>
        </w:rPr>
        <w:t xml:space="preserve">   </w:t>
      </w:r>
      <w:r>
        <w:t>60000</w:t>
      </w:r>
    </w:p>
    <w:p w14:paraId="1AAB352D">
      <w:pPr>
        <w:pStyle w:val="11"/>
        <w:ind w:firstLine="1200" w:firstLineChars="500"/>
      </w:pPr>
      <w:r>
        <w:t>应付账款-新乡工厂34000</w:t>
      </w:r>
    </w:p>
    <w:p w14:paraId="4A2B3AE3">
      <w:pPr>
        <w:pStyle w:val="11"/>
        <w:ind w:firstLine="1200" w:firstLineChars="500"/>
      </w:pPr>
      <w:r>
        <w:rPr>
          <w:rFonts w:hint="eastAsia"/>
        </w:rPr>
        <w:t>贷：银行存款</w:t>
      </w:r>
      <w:r>
        <w:rPr>
          <w:rFonts w:hint="eastAsia"/>
          <w:lang w:val="en-US" w:eastAsia="zh-CN"/>
        </w:rPr>
        <w:t xml:space="preserve">             </w:t>
      </w:r>
      <w:r>
        <w:rPr>
          <w:rFonts w:hint="eastAsia"/>
        </w:rPr>
        <w:t>94000</w:t>
      </w:r>
    </w:p>
    <w:p w14:paraId="3BA52767">
      <w:pPr>
        <w:pStyle w:val="11"/>
      </w:pPr>
      <w:r>
        <w:t>步骤二：</w:t>
      </w:r>
    </w:p>
    <w:p w14:paraId="34DC0C9E">
      <w:pPr>
        <w:pStyle w:val="11"/>
      </w:pPr>
      <w:r>
        <w:t>根据分录分别登记总账和明细账。以下以原材料总账和明细账的平行登记为例，应付账款部分参考原材料（略）。</w:t>
      </w:r>
    </w:p>
    <w:p w14:paraId="751F0790">
      <w:pPr>
        <w:pStyle w:val="19"/>
        <w:spacing w:line="240" w:lineRule="auto"/>
      </w:pPr>
      <w:r>
        <w:t>表5.8总分类账户</w:t>
      </w:r>
    </w:p>
    <w:p w14:paraId="7CDEE7B6">
      <w:pPr>
        <w:pStyle w:val="11"/>
        <w:spacing w:line="240" w:lineRule="auto"/>
        <w:rPr>
          <w:sz w:val="22"/>
          <w:szCs w:val="22"/>
        </w:rPr>
      </w:pPr>
      <w:r>
        <w:rPr>
          <w:sz w:val="22"/>
          <w:szCs w:val="22"/>
        </w:rPr>
        <w:t>账户名称:原材料</w:t>
      </w:r>
    </w:p>
    <w:tbl>
      <w:tblPr>
        <w:tblStyle w:val="17"/>
        <w:tblW w:w="5000" w:type="pct"/>
        <w:tblInd w:w="0" w:type="dxa"/>
        <w:tblLayout w:type="autofit"/>
        <w:tblCellMar>
          <w:top w:w="0" w:type="dxa"/>
          <w:left w:w="0" w:type="dxa"/>
          <w:bottom w:w="0" w:type="dxa"/>
          <w:right w:w="0" w:type="dxa"/>
        </w:tblCellMar>
      </w:tblPr>
      <w:tblGrid>
        <w:gridCol w:w="617"/>
        <w:gridCol w:w="525"/>
        <w:gridCol w:w="1180"/>
        <w:gridCol w:w="2128"/>
        <w:gridCol w:w="940"/>
        <w:gridCol w:w="975"/>
        <w:gridCol w:w="891"/>
        <w:gridCol w:w="1266"/>
      </w:tblGrid>
      <w:tr w14:paraId="4FB267B9">
        <w:tblPrEx>
          <w:tblCellMar>
            <w:top w:w="0" w:type="dxa"/>
            <w:left w:w="0" w:type="dxa"/>
            <w:bottom w:w="0" w:type="dxa"/>
            <w:right w:w="0" w:type="dxa"/>
          </w:tblCellMar>
        </w:tblPrEx>
        <w:tc>
          <w:tcPr>
            <w:tcW w:w="670"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FB1B6FC">
            <w:pPr>
              <w:jc w:val="center"/>
              <w:rPr>
                <w:b/>
              </w:rPr>
            </w:pPr>
            <w:r>
              <w:rPr>
                <w:b/>
              </w:rPr>
              <w:t>20*4年</w:t>
            </w:r>
          </w:p>
        </w:tc>
        <w:tc>
          <w:tcPr>
            <w:tcW w:w="692"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DD95E1B">
            <w:pPr>
              <w:jc w:val="center"/>
              <w:rPr>
                <w:b/>
              </w:rPr>
            </w:pPr>
            <w:r>
              <w:rPr>
                <w:b/>
              </w:rPr>
              <w:t>凭证编号</w:t>
            </w:r>
          </w:p>
        </w:tc>
        <w:tc>
          <w:tcPr>
            <w:tcW w:w="1248"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3558BF0">
            <w:pPr>
              <w:jc w:val="center"/>
              <w:rPr>
                <w:b/>
              </w:rPr>
            </w:pPr>
            <w:r>
              <w:rPr>
                <w:b/>
              </w:rPr>
              <w:t>摘要</w:t>
            </w:r>
          </w:p>
        </w:tc>
        <w:tc>
          <w:tcPr>
            <w:tcW w:w="551"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1897EBD">
            <w:pPr>
              <w:jc w:val="center"/>
              <w:rPr>
                <w:b/>
              </w:rPr>
            </w:pPr>
            <w:r>
              <w:rPr>
                <w:b/>
              </w:rPr>
              <w:t>借方</w:t>
            </w:r>
          </w:p>
        </w:tc>
        <w:tc>
          <w:tcPr>
            <w:tcW w:w="572"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61E37F8">
            <w:pPr>
              <w:jc w:val="center"/>
              <w:rPr>
                <w:b/>
              </w:rPr>
            </w:pPr>
            <w:r>
              <w:rPr>
                <w:b/>
              </w:rPr>
              <w:t>贷方</w:t>
            </w:r>
          </w:p>
        </w:tc>
        <w:tc>
          <w:tcPr>
            <w:tcW w:w="522"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ACBBA9E">
            <w:pPr>
              <w:jc w:val="center"/>
              <w:rPr>
                <w:b/>
              </w:rPr>
            </w:pPr>
            <w:r>
              <w:rPr>
                <w:b/>
              </w:rPr>
              <w:t>借或贷</w:t>
            </w:r>
          </w:p>
        </w:tc>
        <w:tc>
          <w:tcPr>
            <w:tcW w:w="742" w:type="pct"/>
            <w:vMerge w:val="restart"/>
            <w:tcBorders>
              <w:top w:val="single" w:color="000000" w:sz="4" w:space="0"/>
              <w:left w:val="single" w:color="000000" w:sz="4" w:space="0"/>
              <w:right w:val="single" w:color="000000" w:sz="4" w:space="0"/>
            </w:tcBorders>
            <w:tcMar>
              <w:left w:w="108" w:type="dxa"/>
              <w:right w:w="108" w:type="dxa"/>
            </w:tcMar>
            <w:vAlign w:val="center"/>
          </w:tcPr>
          <w:p w14:paraId="06CE5D00">
            <w:pPr>
              <w:jc w:val="center"/>
              <w:rPr>
                <w:b/>
              </w:rPr>
            </w:pPr>
            <w:r>
              <w:rPr>
                <w:b/>
              </w:rPr>
              <w:t>余额</w:t>
            </w:r>
          </w:p>
        </w:tc>
      </w:tr>
      <w:tr w14:paraId="0C91934C">
        <w:tblPrEx>
          <w:tblCellMar>
            <w:top w:w="0" w:type="dxa"/>
            <w:left w:w="0" w:type="dxa"/>
            <w:bottom w:w="0" w:type="dxa"/>
            <w:right w:w="0" w:type="dxa"/>
          </w:tblCellMar>
        </w:tblPrEx>
        <w:trPr>
          <w:trHeight w:val="301" w:hRule="atLeast"/>
        </w:trPr>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62256B4">
            <w:pPr>
              <w:jc w:val="center"/>
              <w:rPr>
                <w:b/>
              </w:rPr>
            </w:pPr>
            <w:r>
              <w:rPr>
                <w:b/>
              </w:rPr>
              <w:t>月</w:t>
            </w:r>
          </w:p>
        </w:tc>
        <w:tc>
          <w:tcPr>
            <w:tcW w:w="308" w:type="pct"/>
            <w:tcBorders>
              <w:top w:val="single" w:color="000000" w:sz="4" w:space="0"/>
              <w:left w:val="single" w:color="000000" w:sz="4" w:space="0"/>
              <w:right w:val="single" w:color="000000" w:sz="4" w:space="0"/>
            </w:tcBorders>
            <w:tcMar>
              <w:left w:w="108" w:type="dxa"/>
              <w:right w:w="108" w:type="dxa"/>
            </w:tcMar>
            <w:vAlign w:val="center"/>
          </w:tcPr>
          <w:p w14:paraId="6E3F8F86">
            <w:pPr>
              <w:jc w:val="center"/>
              <w:rPr>
                <w:rFonts w:hint="eastAsia" w:eastAsiaTheme="minorEastAsia"/>
                <w:b/>
                <w:lang w:val="en-US" w:eastAsia="zh-CN"/>
              </w:rPr>
            </w:pPr>
            <w:r>
              <w:rPr>
                <w:rFonts w:hint="eastAsia"/>
                <w:b/>
                <w:lang w:val="en-US" w:eastAsia="zh-CN"/>
              </w:rPr>
              <w:t>日</w:t>
            </w:r>
          </w:p>
        </w:tc>
        <w:tc>
          <w:tcPr>
            <w:tcW w:w="692"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3493684">
            <w:pPr>
              <w:jc w:val="center"/>
              <w:rPr>
                <w:b/>
              </w:rPr>
            </w:pPr>
          </w:p>
        </w:tc>
        <w:tc>
          <w:tcPr>
            <w:tcW w:w="1248"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1577019">
            <w:pPr>
              <w:jc w:val="center"/>
              <w:rPr>
                <w:b/>
              </w:rPr>
            </w:pPr>
          </w:p>
        </w:tc>
        <w:tc>
          <w:tcPr>
            <w:tcW w:w="551"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5A82A3D">
            <w:pPr>
              <w:jc w:val="center"/>
              <w:rPr>
                <w:b/>
              </w:rPr>
            </w:pPr>
          </w:p>
        </w:tc>
        <w:tc>
          <w:tcPr>
            <w:tcW w:w="572"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E5F30C0">
            <w:pPr>
              <w:jc w:val="center"/>
              <w:rPr>
                <w:b/>
              </w:rPr>
            </w:pPr>
          </w:p>
        </w:tc>
        <w:tc>
          <w:tcPr>
            <w:tcW w:w="522"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DB774B6">
            <w:pPr>
              <w:jc w:val="center"/>
              <w:rPr>
                <w:b/>
              </w:rPr>
            </w:pPr>
          </w:p>
        </w:tc>
        <w:tc>
          <w:tcPr>
            <w:tcW w:w="742" w:type="pct"/>
            <w:vMerge w:val="continue"/>
            <w:tcBorders>
              <w:left w:val="single" w:color="000000" w:sz="4" w:space="0"/>
              <w:bottom w:val="single" w:color="000000" w:sz="4" w:space="0"/>
              <w:right w:val="single" w:color="000000" w:sz="4" w:space="0"/>
            </w:tcBorders>
            <w:tcMar>
              <w:left w:w="108" w:type="dxa"/>
              <w:right w:w="108" w:type="dxa"/>
            </w:tcMar>
            <w:vAlign w:val="center"/>
          </w:tcPr>
          <w:p w14:paraId="314F15C0">
            <w:pPr>
              <w:jc w:val="center"/>
              <w:rPr>
                <w:b/>
              </w:rPr>
            </w:pPr>
          </w:p>
        </w:tc>
      </w:tr>
      <w:tr w14:paraId="4A9F9674">
        <w:tblPrEx>
          <w:tblCellMar>
            <w:top w:w="0" w:type="dxa"/>
            <w:left w:w="0" w:type="dxa"/>
            <w:bottom w:w="0" w:type="dxa"/>
            <w:right w:w="0" w:type="dxa"/>
          </w:tblCellMar>
        </w:tblPrEx>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4A29C97">
            <w:pPr>
              <w:rPr>
                <w:rFonts w:hint="eastAsia" w:eastAsiaTheme="minorEastAsia"/>
                <w:lang w:val="en-US" w:eastAsia="zh-CN"/>
              </w:rPr>
            </w:pPr>
            <w:r>
              <w:rPr>
                <w:rFonts w:hint="eastAsia"/>
                <w:lang w:val="en-US" w:eastAsia="zh-CN"/>
              </w:rPr>
              <w:t>6</w:t>
            </w:r>
          </w:p>
        </w:tc>
        <w:tc>
          <w:tcPr>
            <w:tcW w:w="3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C20799E">
            <w:pPr>
              <w:rPr>
                <w:rFonts w:hint="eastAsia" w:eastAsiaTheme="minorEastAsia"/>
                <w:lang w:val="en-US" w:eastAsia="zh-CN"/>
              </w:rPr>
            </w:pPr>
            <w:r>
              <w:rPr>
                <w:rFonts w:hint="eastAsia"/>
                <w:lang w:val="en-US" w:eastAsia="zh-CN"/>
              </w:rPr>
              <w:t>1</w:t>
            </w:r>
          </w:p>
        </w:tc>
        <w:tc>
          <w:tcPr>
            <w:tcW w:w="69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F482700"/>
        </w:tc>
        <w:tc>
          <w:tcPr>
            <w:tcW w:w="124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A24F48A">
            <w:pPr>
              <w:rPr>
                <w:rFonts w:hint="default" w:eastAsiaTheme="minorEastAsia"/>
                <w:lang w:val="en-US" w:eastAsia="zh-CN"/>
              </w:rPr>
            </w:pPr>
            <w:r>
              <w:rPr>
                <w:rFonts w:hint="eastAsia"/>
                <w:lang w:val="en-US" w:eastAsia="zh-CN"/>
              </w:rPr>
              <w:t>期初余额</w:t>
            </w:r>
          </w:p>
        </w:tc>
        <w:tc>
          <w:tcPr>
            <w:tcW w:w="55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FD3E19F"/>
        </w:tc>
        <w:tc>
          <w:tcPr>
            <w:tcW w:w="57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75514F2"/>
        </w:tc>
        <w:tc>
          <w:tcPr>
            <w:tcW w:w="52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32ECB11">
            <w:pPr>
              <w:rPr>
                <w:rFonts w:hint="eastAsia" w:eastAsiaTheme="minorEastAsia"/>
                <w:lang w:val="en-US" w:eastAsia="zh-CN"/>
              </w:rPr>
            </w:pPr>
            <w:r>
              <w:rPr>
                <w:rFonts w:hint="eastAsia"/>
                <w:lang w:val="en-US" w:eastAsia="zh-CN"/>
              </w:rPr>
              <w:t>借</w:t>
            </w:r>
          </w:p>
        </w:tc>
        <w:tc>
          <w:tcPr>
            <w:tcW w:w="74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2D9B7A9">
            <w:pPr>
              <w:rPr>
                <w:rFonts w:hint="default" w:eastAsiaTheme="minorEastAsia"/>
                <w:lang w:val="en-US" w:eastAsia="zh-CN"/>
              </w:rPr>
            </w:pPr>
            <w:r>
              <w:rPr>
                <w:rFonts w:hint="eastAsia"/>
                <w:lang w:val="en-US" w:eastAsia="zh-CN"/>
              </w:rPr>
              <w:t>70000</w:t>
            </w:r>
          </w:p>
        </w:tc>
      </w:tr>
      <w:tr w14:paraId="1A691338">
        <w:tblPrEx>
          <w:tblCellMar>
            <w:top w:w="0" w:type="dxa"/>
            <w:left w:w="0" w:type="dxa"/>
            <w:bottom w:w="0" w:type="dxa"/>
            <w:right w:w="0" w:type="dxa"/>
          </w:tblCellMar>
        </w:tblPrEx>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7C0699C"/>
        </w:tc>
        <w:tc>
          <w:tcPr>
            <w:tcW w:w="3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885EA4E">
            <w:pPr>
              <w:rPr>
                <w:rFonts w:hint="eastAsia" w:eastAsiaTheme="minorEastAsia"/>
                <w:lang w:val="en-US" w:eastAsia="zh-CN"/>
              </w:rPr>
            </w:pPr>
            <w:r>
              <w:rPr>
                <w:rFonts w:hint="eastAsia"/>
                <w:lang w:val="en-US" w:eastAsia="zh-CN"/>
              </w:rPr>
              <w:t>8</w:t>
            </w:r>
          </w:p>
        </w:tc>
        <w:tc>
          <w:tcPr>
            <w:tcW w:w="69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5A4D845">
            <w:pPr>
              <w:rPr>
                <w:rFonts w:hint="default" w:eastAsiaTheme="minorEastAsia"/>
                <w:lang w:val="en-US" w:eastAsia="zh-CN"/>
              </w:rPr>
            </w:pPr>
            <w:r>
              <w:rPr>
                <w:rFonts w:hint="eastAsia"/>
                <w:lang w:val="en-US" w:eastAsia="zh-CN"/>
              </w:rPr>
              <w:t>记字1号</w:t>
            </w:r>
          </w:p>
        </w:tc>
        <w:tc>
          <w:tcPr>
            <w:tcW w:w="124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3F70173">
            <w:pPr>
              <w:rPr>
                <w:rFonts w:hint="default" w:eastAsiaTheme="minorEastAsia"/>
                <w:lang w:val="en-US" w:eastAsia="zh-CN"/>
              </w:rPr>
            </w:pPr>
            <w:r>
              <w:rPr>
                <w:rFonts w:hint="eastAsia"/>
                <w:lang w:val="en-US" w:eastAsia="zh-CN"/>
              </w:rPr>
              <w:t>购入甲材料</w:t>
            </w:r>
          </w:p>
        </w:tc>
        <w:tc>
          <w:tcPr>
            <w:tcW w:w="55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7A6B484">
            <w:pPr>
              <w:rPr>
                <w:rFonts w:hint="default" w:eastAsiaTheme="minorEastAsia"/>
                <w:lang w:val="en-US" w:eastAsia="zh-CN"/>
              </w:rPr>
            </w:pPr>
            <w:r>
              <w:rPr>
                <w:rFonts w:hint="eastAsia"/>
                <w:lang w:val="en-US" w:eastAsia="zh-CN"/>
              </w:rPr>
              <w:t>50000</w:t>
            </w:r>
          </w:p>
        </w:tc>
        <w:tc>
          <w:tcPr>
            <w:tcW w:w="57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3C7E4EA"/>
        </w:tc>
        <w:tc>
          <w:tcPr>
            <w:tcW w:w="52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F73BCC1">
            <w:pPr>
              <w:rPr>
                <w:rFonts w:hint="eastAsia" w:eastAsiaTheme="minorEastAsia"/>
                <w:lang w:val="en-US" w:eastAsia="zh-CN"/>
              </w:rPr>
            </w:pPr>
            <w:r>
              <w:rPr>
                <w:rFonts w:hint="eastAsia"/>
                <w:lang w:val="en-US" w:eastAsia="zh-CN"/>
              </w:rPr>
              <w:t>借</w:t>
            </w:r>
          </w:p>
        </w:tc>
        <w:tc>
          <w:tcPr>
            <w:tcW w:w="74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7EEED20">
            <w:pPr>
              <w:rPr>
                <w:rFonts w:hint="default" w:eastAsiaTheme="minorEastAsia"/>
                <w:lang w:val="en-US" w:eastAsia="zh-CN"/>
              </w:rPr>
            </w:pPr>
            <w:r>
              <w:rPr>
                <w:rFonts w:hint="eastAsia"/>
                <w:lang w:val="en-US" w:eastAsia="zh-CN"/>
              </w:rPr>
              <w:t>120000</w:t>
            </w:r>
          </w:p>
        </w:tc>
      </w:tr>
      <w:tr w14:paraId="5DB7CCB0">
        <w:tblPrEx>
          <w:tblCellMar>
            <w:top w:w="0" w:type="dxa"/>
            <w:left w:w="0" w:type="dxa"/>
            <w:bottom w:w="0" w:type="dxa"/>
            <w:right w:w="0" w:type="dxa"/>
          </w:tblCellMar>
        </w:tblPrEx>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00EF31B"/>
        </w:tc>
        <w:tc>
          <w:tcPr>
            <w:tcW w:w="3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1B4974A">
            <w:pPr>
              <w:rPr>
                <w:rFonts w:hint="default" w:eastAsiaTheme="minorEastAsia"/>
                <w:lang w:val="en-US" w:eastAsia="zh-CN"/>
              </w:rPr>
            </w:pPr>
            <w:r>
              <w:rPr>
                <w:rFonts w:hint="eastAsia"/>
                <w:lang w:val="en-US" w:eastAsia="zh-CN"/>
              </w:rPr>
              <w:t>16</w:t>
            </w:r>
          </w:p>
        </w:tc>
        <w:tc>
          <w:tcPr>
            <w:tcW w:w="69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B806B3F">
            <w:pPr>
              <w:rPr>
                <w:rFonts w:hint="default" w:eastAsiaTheme="minorEastAsia"/>
                <w:lang w:val="en-US" w:eastAsia="zh-CN"/>
              </w:rPr>
            </w:pPr>
            <w:r>
              <w:rPr>
                <w:rFonts w:hint="eastAsia"/>
                <w:lang w:val="en-US" w:eastAsia="zh-CN"/>
              </w:rPr>
              <w:t>记字2号</w:t>
            </w:r>
          </w:p>
        </w:tc>
        <w:tc>
          <w:tcPr>
            <w:tcW w:w="124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153264F">
            <w:pPr>
              <w:rPr>
                <w:rFonts w:hint="default" w:eastAsiaTheme="minorEastAsia"/>
                <w:lang w:val="en-US" w:eastAsia="zh-CN"/>
              </w:rPr>
            </w:pPr>
            <w:r>
              <w:rPr>
                <w:rFonts w:hint="eastAsia"/>
                <w:lang w:val="en-US" w:eastAsia="zh-CN"/>
              </w:rPr>
              <w:t>购入乙材料</w:t>
            </w:r>
          </w:p>
        </w:tc>
        <w:tc>
          <w:tcPr>
            <w:tcW w:w="55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481ECBF">
            <w:pPr>
              <w:rPr>
                <w:rFonts w:hint="default" w:eastAsiaTheme="minorEastAsia"/>
                <w:lang w:val="en-US" w:eastAsia="zh-CN"/>
              </w:rPr>
            </w:pPr>
            <w:r>
              <w:rPr>
                <w:rFonts w:hint="eastAsia"/>
                <w:lang w:val="en-US" w:eastAsia="zh-CN"/>
              </w:rPr>
              <w:t>24000</w:t>
            </w:r>
          </w:p>
        </w:tc>
        <w:tc>
          <w:tcPr>
            <w:tcW w:w="57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2AB5578"/>
        </w:tc>
        <w:tc>
          <w:tcPr>
            <w:tcW w:w="52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B857A5C">
            <w:pPr>
              <w:rPr>
                <w:rFonts w:hint="eastAsia" w:eastAsiaTheme="minorEastAsia"/>
                <w:lang w:val="en-US" w:eastAsia="zh-CN"/>
              </w:rPr>
            </w:pPr>
            <w:r>
              <w:rPr>
                <w:rFonts w:hint="eastAsia"/>
                <w:lang w:val="en-US" w:eastAsia="zh-CN"/>
              </w:rPr>
              <w:t>借</w:t>
            </w:r>
          </w:p>
        </w:tc>
        <w:tc>
          <w:tcPr>
            <w:tcW w:w="74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48E4645">
            <w:pPr>
              <w:rPr>
                <w:rFonts w:hint="default" w:eastAsiaTheme="minorEastAsia"/>
                <w:lang w:val="en-US" w:eastAsia="zh-CN"/>
              </w:rPr>
            </w:pPr>
            <w:r>
              <w:rPr>
                <w:rFonts w:hint="eastAsia"/>
                <w:lang w:val="en-US" w:eastAsia="zh-CN"/>
              </w:rPr>
              <w:t>144000</w:t>
            </w:r>
          </w:p>
        </w:tc>
      </w:tr>
      <w:tr w14:paraId="3C25B79F">
        <w:tblPrEx>
          <w:tblCellMar>
            <w:top w:w="0" w:type="dxa"/>
            <w:left w:w="0" w:type="dxa"/>
            <w:bottom w:w="0" w:type="dxa"/>
            <w:right w:w="0" w:type="dxa"/>
          </w:tblCellMar>
        </w:tblPrEx>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B803C40"/>
        </w:tc>
        <w:tc>
          <w:tcPr>
            <w:tcW w:w="3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63F3A2C">
            <w:pPr>
              <w:rPr>
                <w:rFonts w:hint="default" w:eastAsiaTheme="minorEastAsia"/>
                <w:lang w:val="en-US" w:eastAsia="zh-CN"/>
              </w:rPr>
            </w:pPr>
            <w:r>
              <w:rPr>
                <w:rFonts w:hint="eastAsia"/>
                <w:lang w:val="en-US" w:eastAsia="zh-CN"/>
              </w:rPr>
              <w:t>25</w:t>
            </w:r>
          </w:p>
        </w:tc>
        <w:tc>
          <w:tcPr>
            <w:tcW w:w="69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3E31FFA">
            <w:pPr>
              <w:rPr>
                <w:rFonts w:hint="default" w:eastAsiaTheme="minorEastAsia"/>
                <w:lang w:val="en-US" w:eastAsia="zh-CN"/>
              </w:rPr>
            </w:pPr>
            <w:r>
              <w:rPr>
                <w:rFonts w:hint="eastAsia"/>
                <w:lang w:val="en-US" w:eastAsia="zh-CN"/>
              </w:rPr>
              <w:t>记字3号</w:t>
            </w:r>
          </w:p>
        </w:tc>
        <w:tc>
          <w:tcPr>
            <w:tcW w:w="124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FDDB05B">
            <w:pPr>
              <w:rPr>
                <w:rFonts w:hint="default" w:eastAsiaTheme="minorEastAsia"/>
                <w:lang w:val="en-US" w:eastAsia="zh-CN"/>
              </w:rPr>
            </w:pPr>
            <w:r>
              <w:rPr>
                <w:rFonts w:hint="eastAsia"/>
                <w:lang w:val="en-US" w:eastAsia="zh-CN"/>
              </w:rPr>
              <w:t>领用甲、乙材料</w:t>
            </w:r>
          </w:p>
        </w:tc>
        <w:tc>
          <w:tcPr>
            <w:tcW w:w="55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6EB722F"/>
        </w:tc>
        <w:tc>
          <w:tcPr>
            <w:tcW w:w="57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DE1ECD8">
            <w:pPr>
              <w:rPr>
                <w:rFonts w:hint="default" w:eastAsiaTheme="minorEastAsia"/>
                <w:lang w:val="en-US" w:eastAsia="zh-CN"/>
              </w:rPr>
            </w:pPr>
            <w:r>
              <w:rPr>
                <w:rFonts w:hint="eastAsia"/>
                <w:lang w:val="en-US" w:eastAsia="zh-CN"/>
              </w:rPr>
              <w:t>115000</w:t>
            </w:r>
          </w:p>
        </w:tc>
        <w:tc>
          <w:tcPr>
            <w:tcW w:w="52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D5D64B4">
            <w:pPr>
              <w:rPr>
                <w:rFonts w:hint="eastAsia" w:eastAsiaTheme="minorEastAsia"/>
                <w:lang w:val="en-US" w:eastAsia="zh-CN"/>
              </w:rPr>
            </w:pPr>
            <w:r>
              <w:rPr>
                <w:rFonts w:hint="eastAsia"/>
                <w:lang w:val="en-US" w:eastAsia="zh-CN"/>
              </w:rPr>
              <w:t>借</w:t>
            </w:r>
          </w:p>
        </w:tc>
        <w:tc>
          <w:tcPr>
            <w:tcW w:w="74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7CD2CAF">
            <w:pPr>
              <w:rPr>
                <w:rFonts w:hint="default" w:eastAsiaTheme="minorEastAsia"/>
                <w:lang w:val="en-US" w:eastAsia="zh-CN"/>
              </w:rPr>
            </w:pPr>
            <w:r>
              <w:rPr>
                <w:rFonts w:hint="eastAsia"/>
                <w:lang w:val="en-US" w:eastAsia="zh-CN"/>
              </w:rPr>
              <w:t>29000</w:t>
            </w:r>
          </w:p>
        </w:tc>
      </w:tr>
      <w:tr w14:paraId="015F1A8A">
        <w:tblPrEx>
          <w:tblCellMar>
            <w:top w:w="0" w:type="dxa"/>
            <w:left w:w="0" w:type="dxa"/>
            <w:bottom w:w="0" w:type="dxa"/>
            <w:right w:w="0" w:type="dxa"/>
          </w:tblCellMar>
        </w:tblPrEx>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DF76F8A"/>
        </w:tc>
        <w:tc>
          <w:tcPr>
            <w:tcW w:w="3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DC3D207"/>
        </w:tc>
        <w:tc>
          <w:tcPr>
            <w:tcW w:w="69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7B4FA01"/>
        </w:tc>
        <w:tc>
          <w:tcPr>
            <w:tcW w:w="124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1BDD970">
            <w:r>
              <w:t>本月合计</w:t>
            </w:r>
          </w:p>
        </w:tc>
        <w:tc>
          <w:tcPr>
            <w:tcW w:w="55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89CA7E5"/>
        </w:tc>
        <w:tc>
          <w:tcPr>
            <w:tcW w:w="57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3FFDAF9"/>
        </w:tc>
        <w:tc>
          <w:tcPr>
            <w:tcW w:w="52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22108D6"/>
        </w:tc>
        <w:tc>
          <w:tcPr>
            <w:tcW w:w="74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B3E75AC"/>
        </w:tc>
      </w:tr>
    </w:tbl>
    <w:p w14:paraId="014D4ABD">
      <w:pPr>
        <w:keepNext w:val="0"/>
        <w:keepLines w:val="0"/>
        <w:pageBreakBefore w:val="0"/>
        <w:numPr>
          <w:ilvl w:val="0"/>
          <w:numId w:val="0"/>
        </w:numPr>
        <w:kinsoku/>
        <w:wordWrap/>
        <w:overflowPunct/>
        <w:topLinePunct w:val="0"/>
        <w:autoSpaceDE/>
        <w:autoSpaceDN/>
        <w:bidi w:val="0"/>
        <w:adjustRightInd w:val="0"/>
        <w:snapToGrid w:val="0"/>
        <w:spacing w:beforeAutospacing="0" w:afterAutospacing="0"/>
        <w:jc w:val="left"/>
        <w:textAlignment w:val="auto"/>
      </w:pPr>
    </w:p>
    <w:p w14:paraId="6B2F6FBE">
      <w:pPr>
        <w:pStyle w:val="19"/>
        <w:spacing w:line="240" w:lineRule="auto"/>
      </w:pPr>
      <w:r>
        <w:t>表5.12明细分类账户</w:t>
      </w:r>
    </w:p>
    <w:p w14:paraId="58A78B8F">
      <w:pPr>
        <w:pStyle w:val="11"/>
        <w:spacing w:line="240" w:lineRule="auto"/>
        <w:rPr>
          <w:sz w:val="22"/>
          <w:szCs w:val="22"/>
        </w:rPr>
      </w:pPr>
      <w:r>
        <w:rPr>
          <w:sz w:val="22"/>
          <w:szCs w:val="22"/>
        </w:rPr>
        <w:t>账户名称:原材料——甲材料</w:t>
      </w:r>
    </w:p>
    <w:tbl>
      <w:tblPr>
        <w:tblStyle w:val="17"/>
        <w:tblW w:w="5391" w:type="pct"/>
        <w:tblInd w:w="-566" w:type="dxa"/>
        <w:tblLayout w:type="fixed"/>
        <w:tblCellMar>
          <w:top w:w="0" w:type="dxa"/>
          <w:left w:w="0" w:type="dxa"/>
          <w:bottom w:w="0" w:type="dxa"/>
          <w:right w:w="0" w:type="dxa"/>
        </w:tblCellMar>
      </w:tblPr>
      <w:tblGrid>
        <w:gridCol w:w="522"/>
        <w:gridCol w:w="467"/>
        <w:gridCol w:w="733"/>
        <w:gridCol w:w="1313"/>
        <w:gridCol w:w="620"/>
        <w:gridCol w:w="708"/>
        <w:gridCol w:w="759"/>
        <w:gridCol w:w="545"/>
        <w:gridCol w:w="666"/>
        <w:gridCol w:w="756"/>
        <w:gridCol w:w="600"/>
        <w:gridCol w:w="736"/>
        <w:gridCol w:w="764"/>
      </w:tblGrid>
      <w:tr w14:paraId="1A33F1D8">
        <w:tblPrEx>
          <w:tblCellMar>
            <w:top w:w="0" w:type="dxa"/>
            <w:left w:w="0" w:type="dxa"/>
            <w:bottom w:w="0" w:type="dxa"/>
            <w:right w:w="0" w:type="dxa"/>
          </w:tblCellMar>
        </w:tblPrEx>
        <w:tc>
          <w:tcPr>
            <w:tcW w:w="538"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35CE63D">
            <w:pPr>
              <w:jc w:val="center"/>
              <w:rPr>
                <w:b/>
              </w:rPr>
            </w:pPr>
            <w:r>
              <w:rPr>
                <w:b/>
              </w:rPr>
              <w:t>20∗4年</w:t>
            </w:r>
          </w:p>
        </w:tc>
        <w:tc>
          <w:tcPr>
            <w:tcW w:w="398"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BC729E2">
            <w:pPr>
              <w:jc w:val="center"/>
              <w:rPr>
                <w:b/>
              </w:rPr>
            </w:pPr>
            <w:r>
              <w:rPr>
                <w:b/>
              </w:rPr>
              <w:t>凭证编号</w:t>
            </w:r>
          </w:p>
        </w:tc>
        <w:tc>
          <w:tcPr>
            <w:tcW w:w="714" w:type="pct"/>
            <w:vMerge w:val="restart"/>
            <w:tcBorders>
              <w:top w:val="single" w:color="000000" w:sz="4" w:space="0"/>
              <w:left w:val="single" w:color="000000" w:sz="4" w:space="0"/>
              <w:right w:val="single" w:color="000000" w:sz="4" w:space="0"/>
            </w:tcBorders>
            <w:tcMar>
              <w:left w:w="108" w:type="dxa"/>
              <w:right w:w="108" w:type="dxa"/>
            </w:tcMar>
            <w:vAlign w:val="center"/>
          </w:tcPr>
          <w:p w14:paraId="76998BC0">
            <w:pPr>
              <w:jc w:val="center"/>
              <w:rPr>
                <w:b/>
              </w:rPr>
            </w:pPr>
            <w:r>
              <w:rPr>
                <w:b/>
              </w:rPr>
              <w:t>摘要</w:t>
            </w:r>
          </w:p>
        </w:tc>
        <w:tc>
          <w:tcPr>
            <w:tcW w:w="1135" w:type="pct"/>
            <w:gridSpan w:val="3"/>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8768A0C">
            <w:pPr>
              <w:jc w:val="center"/>
              <w:rPr>
                <w:b/>
              </w:rPr>
            </w:pPr>
            <w:r>
              <w:rPr>
                <w:b/>
              </w:rPr>
              <w:t>收入</w:t>
            </w:r>
          </w:p>
        </w:tc>
        <w:tc>
          <w:tcPr>
            <w:tcW w:w="1070" w:type="pct"/>
            <w:gridSpan w:val="3"/>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F005017">
            <w:pPr>
              <w:jc w:val="center"/>
              <w:rPr>
                <w:b/>
              </w:rPr>
            </w:pPr>
            <w:r>
              <w:rPr>
                <w:b/>
              </w:rPr>
              <w:t>发出</w:t>
            </w:r>
          </w:p>
        </w:tc>
        <w:tc>
          <w:tcPr>
            <w:tcW w:w="1142" w:type="pct"/>
            <w:gridSpan w:val="3"/>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8099E23">
            <w:pPr>
              <w:jc w:val="center"/>
              <w:rPr>
                <w:b/>
              </w:rPr>
            </w:pPr>
            <w:r>
              <w:rPr>
                <w:b/>
              </w:rPr>
              <w:t>结存</w:t>
            </w:r>
          </w:p>
        </w:tc>
      </w:tr>
      <w:tr w14:paraId="1EAE673F">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9A4B784">
            <w:pPr>
              <w:jc w:val="center"/>
              <w:rPr>
                <w:b/>
              </w:rPr>
            </w:pPr>
            <w:r>
              <w:rPr>
                <w:b/>
              </w:rPr>
              <w:t>月</w:t>
            </w:r>
          </w:p>
        </w:tc>
        <w:tc>
          <w:tcPr>
            <w:tcW w:w="254" w:type="pct"/>
            <w:tcBorders>
              <w:top w:val="single" w:color="000000" w:sz="4" w:space="0"/>
              <w:left w:val="single" w:color="000000" w:sz="4" w:space="0"/>
              <w:right w:val="single" w:color="000000" w:sz="4" w:space="0"/>
            </w:tcBorders>
            <w:tcMar>
              <w:left w:w="108" w:type="dxa"/>
              <w:right w:w="108" w:type="dxa"/>
            </w:tcMar>
            <w:vAlign w:val="center"/>
          </w:tcPr>
          <w:p w14:paraId="2942EC44">
            <w:pPr>
              <w:jc w:val="center"/>
              <w:rPr>
                <w:rFonts w:hint="eastAsia" w:eastAsiaTheme="minorEastAsia"/>
                <w:b/>
                <w:lang w:val="en-US" w:eastAsia="zh-CN"/>
              </w:rPr>
            </w:pPr>
            <w:r>
              <w:rPr>
                <w:rFonts w:hint="eastAsia"/>
                <w:b/>
                <w:lang w:val="en-US" w:eastAsia="zh-CN"/>
              </w:rPr>
              <w:t>日</w:t>
            </w:r>
          </w:p>
        </w:tc>
        <w:tc>
          <w:tcPr>
            <w:tcW w:w="398"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6EEF967">
            <w:pPr>
              <w:jc w:val="center"/>
              <w:rPr>
                <w:b/>
              </w:rPr>
            </w:pPr>
          </w:p>
        </w:tc>
        <w:tc>
          <w:tcPr>
            <w:tcW w:w="714" w:type="pct"/>
            <w:vMerge w:val="continue"/>
            <w:tcBorders>
              <w:left w:val="single" w:color="000000" w:sz="4" w:space="0"/>
              <w:bottom w:val="single" w:color="000000" w:sz="4" w:space="0"/>
              <w:right w:val="single" w:color="000000" w:sz="4" w:space="0"/>
            </w:tcBorders>
            <w:tcMar>
              <w:left w:w="108" w:type="dxa"/>
              <w:right w:w="108" w:type="dxa"/>
            </w:tcMar>
            <w:vAlign w:val="center"/>
          </w:tcPr>
          <w:p w14:paraId="17106E01">
            <w:pPr>
              <w:jc w:val="center"/>
              <w:rPr>
                <w:b/>
              </w:rPr>
            </w:pPr>
          </w:p>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90400DA">
            <w:pPr>
              <w:jc w:val="center"/>
              <w:rPr>
                <w:b/>
              </w:rPr>
            </w:pPr>
            <w:r>
              <w:rPr>
                <w:b/>
              </w:rPr>
              <w:t>数量</w:t>
            </w:r>
          </w:p>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80FF68E">
            <w:pPr>
              <w:jc w:val="center"/>
              <w:rPr>
                <w:b/>
              </w:rPr>
            </w:pPr>
            <w:r>
              <w:rPr>
                <w:b/>
              </w:rPr>
              <w:t>单价</w:t>
            </w:r>
          </w:p>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80535C1">
            <w:pPr>
              <w:jc w:val="center"/>
              <w:rPr>
                <w:b/>
              </w:rPr>
            </w:pPr>
            <w:r>
              <w:rPr>
                <w:b/>
              </w:rPr>
              <w:t>金额</w:t>
            </w:r>
          </w:p>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508F663">
            <w:pPr>
              <w:jc w:val="center"/>
              <w:rPr>
                <w:b/>
              </w:rPr>
            </w:pPr>
            <w:r>
              <w:rPr>
                <w:b/>
              </w:rPr>
              <w:t>数量</w:t>
            </w:r>
          </w:p>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6D97F1B">
            <w:pPr>
              <w:jc w:val="center"/>
              <w:rPr>
                <w:b/>
              </w:rPr>
            </w:pPr>
            <w:r>
              <w:rPr>
                <w:b/>
              </w:rPr>
              <w:t>单价</w:t>
            </w:r>
          </w:p>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FA6694A">
            <w:pPr>
              <w:jc w:val="center"/>
              <w:rPr>
                <w:b/>
              </w:rPr>
            </w:pPr>
            <w:r>
              <w:rPr>
                <w:b/>
              </w:rPr>
              <w:t>金额</w:t>
            </w:r>
          </w:p>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CCFCA19">
            <w:pPr>
              <w:jc w:val="center"/>
              <w:rPr>
                <w:b/>
              </w:rPr>
            </w:pPr>
            <w:r>
              <w:rPr>
                <w:b/>
              </w:rPr>
              <w:t>数量</w:t>
            </w:r>
          </w:p>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E42B0B6">
            <w:pPr>
              <w:jc w:val="center"/>
              <w:rPr>
                <w:b/>
              </w:rPr>
            </w:pPr>
            <w:r>
              <w:rPr>
                <w:b/>
              </w:rPr>
              <w:t>单价</w:t>
            </w:r>
          </w:p>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7F21336">
            <w:pPr>
              <w:jc w:val="center"/>
              <w:rPr>
                <w:b/>
              </w:rPr>
            </w:pPr>
            <w:r>
              <w:rPr>
                <w:b/>
              </w:rPr>
              <w:t>金额</w:t>
            </w:r>
          </w:p>
        </w:tc>
      </w:tr>
      <w:tr w14:paraId="45C88C44">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BFFCD0E">
            <w:pPr>
              <w:rPr>
                <w:rFonts w:hint="eastAsia" w:eastAsiaTheme="minorEastAsia"/>
                <w:lang w:val="en-US" w:eastAsia="zh-CN"/>
              </w:rPr>
            </w:pPr>
            <w:r>
              <w:rPr>
                <w:rFonts w:hint="eastAsia"/>
                <w:lang w:val="en-US" w:eastAsia="zh-CN"/>
              </w:rPr>
              <w:t>6</w:t>
            </w:r>
          </w:p>
        </w:tc>
        <w:tc>
          <w:tcPr>
            <w:tcW w:w="2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199A225">
            <w:pPr>
              <w:rPr>
                <w:rFonts w:hint="eastAsia" w:eastAsiaTheme="minorEastAsia"/>
                <w:lang w:val="en-US" w:eastAsia="zh-CN"/>
              </w:rPr>
            </w:pPr>
            <w:r>
              <w:rPr>
                <w:rFonts w:hint="eastAsia"/>
                <w:lang w:val="en-US" w:eastAsia="zh-CN"/>
              </w:rPr>
              <w:t>1</w:t>
            </w:r>
          </w:p>
        </w:tc>
        <w:tc>
          <w:tcPr>
            <w:tcW w:w="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22065AF">
            <w:pPr>
              <w:jc w:val="left"/>
            </w:pPr>
          </w:p>
        </w:tc>
        <w:tc>
          <w:tcPr>
            <w:tcW w:w="71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7573A70">
            <w:pPr>
              <w:jc w:val="left"/>
              <w:rPr>
                <w:rFonts w:hint="default" w:eastAsiaTheme="minorEastAsia"/>
                <w:lang w:val="en-US" w:eastAsia="zh-CN"/>
              </w:rPr>
            </w:pPr>
            <w:r>
              <w:rPr>
                <w:rFonts w:hint="eastAsia"/>
                <w:lang w:val="en-US" w:eastAsia="zh-CN"/>
              </w:rPr>
              <w:t>期初余额</w:t>
            </w:r>
          </w:p>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94C4AB7"/>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2D9E197"/>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E5249FC"/>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DC74818"/>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F714D06"/>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BC9A737"/>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2518C40">
            <w:pPr>
              <w:rPr>
                <w:rFonts w:hint="default" w:eastAsiaTheme="minorEastAsia"/>
                <w:lang w:val="en-US" w:eastAsia="zh-CN"/>
              </w:rPr>
            </w:pPr>
            <w:r>
              <w:rPr>
                <w:rFonts w:hint="eastAsia"/>
                <w:lang w:val="en-US" w:eastAsia="zh-CN"/>
              </w:rPr>
              <w:t>80</w:t>
            </w:r>
          </w:p>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5E31F2F">
            <w:pPr>
              <w:rPr>
                <w:rFonts w:hint="default" w:eastAsiaTheme="minorEastAsia"/>
                <w:lang w:val="en-US" w:eastAsia="zh-CN"/>
              </w:rPr>
            </w:pPr>
            <w:r>
              <w:rPr>
                <w:rFonts w:hint="eastAsia"/>
                <w:lang w:val="en-US" w:eastAsia="zh-CN"/>
              </w:rPr>
              <w:t>500</w:t>
            </w:r>
          </w:p>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997D889">
            <w:pPr>
              <w:rPr>
                <w:rFonts w:hint="default" w:eastAsiaTheme="minorEastAsia"/>
                <w:lang w:val="en-US" w:eastAsia="zh-CN"/>
              </w:rPr>
            </w:pPr>
            <w:r>
              <w:rPr>
                <w:rFonts w:hint="eastAsia"/>
                <w:lang w:val="en-US" w:eastAsia="zh-CN"/>
              </w:rPr>
              <w:t>40000</w:t>
            </w:r>
          </w:p>
        </w:tc>
      </w:tr>
      <w:tr w14:paraId="4F2EB11D">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9596B32"/>
        </w:tc>
        <w:tc>
          <w:tcPr>
            <w:tcW w:w="2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3C8B31E">
            <w:pPr>
              <w:rPr>
                <w:rFonts w:hint="eastAsia" w:eastAsiaTheme="minorEastAsia"/>
                <w:lang w:val="en-US" w:eastAsia="zh-CN"/>
              </w:rPr>
            </w:pPr>
            <w:r>
              <w:rPr>
                <w:rFonts w:hint="eastAsia"/>
                <w:lang w:val="en-US" w:eastAsia="zh-CN"/>
              </w:rPr>
              <w:t>8</w:t>
            </w:r>
          </w:p>
        </w:tc>
        <w:tc>
          <w:tcPr>
            <w:tcW w:w="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8113FC8">
            <w:pPr>
              <w:rPr>
                <w:rFonts w:hint="default" w:eastAsiaTheme="minorEastAsia"/>
                <w:lang w:val="en-US" w:eastAsia="zh-CN"/>
              </w:rPr>
            </w:pPr>
            <w:r>
              <w:rPr>
                <w:rFonts w:hint="eastAsia"/>
                <w:lang w:val="en-US" w:eastAsia="zh-CN"/>
              </w:rPr>
              <w:t>记1#</w:t>
            </w:r>
          </w:p>
        </w:tc>
        <w:tc>
          <w:tcPr>
            <w:tcW w:w="71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C37FD38">
            <w:r>
              <w:rPr>
                <w:rFonts w:hint="eastAsia"/>
                <w:lang w:val="en-US" w:eastAsia="zh-CN"/>
              </w:rPr>
              <w:t>购入甲材料</w:t>
            </w:r>
          </w:p>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CCBBF1D">
            <w:pPr>
              <w:rPr>
                <w:rFonts w:hint="default" w:eastAsiaTheme="minorEastAsia"/>
                <w:lang w:val="en-US" w:eastAsia="zh-CN"/>
              </w:rPr>
            </w:pPr>
            <w:r>
              <w:rPr>
                <w:rFonts w:hint="eastAsia"/>
                <w:lang w:val="en-US" w:eastAsia="zh-CN"/>
              </w:rPr>
              <w:t>100</w:t>
            </w:r>
          </w:p>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A3AD546">
            <w:pPr>
              <w:rPr>
                <w:rFonts w:hint="default" w:eastAsiaTheme="minorEastAsia"/>
                <w:lang w:val="en-US" w:eastAsia="zh-CN"/>
              </w:rPr>
            </w:pPr>
            <w:r>
              <w:rPr>
                <w:rFonts w:hint="eastAsia"/>
                <w:lang w:val="en-US" w:eastAsia="zh-CN"/>
              </w:rPr>
              <w:t>500</w:t>
            </w:r>
          </w:p>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1278AF6">
            <w:pPr>
              <w:rPr>
                <w:rFonts w:hint="default" w:eastAsiaTheme="minorEastAsia"/>
                <w:lang w:val="en-US" w:eastAsia="zh-CN"/>
              </w:rPr>
            </w:pPr>
            <w:r>
              <w:rPr>
                <w:rFonts w:hint="eastAsia"/>
                <w:lang w:val="en-US" w:eastAsia="zh-CN"/>
              </w:rPr>
              <w:t>50000</w:t>
            </w:r>
          </w:p>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4844032"/>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7610DDB"/>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3C94E2A"/>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BBE4223">
            <w:pPr>
              <w:rPr>
                <w:rFonts w:hint="default" w:eastAsiaTheme="minorEastAsia"/>
                <w:lang w:val="en-US" w:eastAsia="zh-CN"/>
              </w:rPr>
            </w:pPr>
            <w:r>
              <w:rPr>
                <w:rFonts w:hint="eastAsia"/>
                <w:lang w:val="en-US" w:eastAsia="zh-CN"/>
              </w:rPr>
              <w:t>180</w:t>
            </w:r>
          </w:p>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358A7C1">
            <w:pPr>
              <w:rPr>
                <w:rFonts w:hint="default" w:eastAsiaTheme="minorEastAsia"/>
                <w:lang w:val="en-US" w:eastAsia="zh-CN"/>
              </w:rPr>
            </w:pPr>
            <w:r>
              <w:rPr>
                <w:rFonts w:hint="eastAsia"/>
                <w:lang w:val="en-US" w:eastAsia="zh-CN"/>
              </w:rPr>
              <w:t>500</w:t>
            </w:r>
          </w:p>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33ED549">
            <w:pPr>
              <w:rPr>
                <w:rFonts w:hint="default" w:eastAsiaTheme="minorEastAsia"/>
                <w:lang w:val="en-US" w:eastAsia="zh-CN"/>
              </w:rPr>
            </w:pPr>
            <w:r>
              <w:rPr>
                <w:rFonts w:hint="eastAsia"/>
                <w:lang w:val="en-US" w:eastAsia="zh-CN"/>
              </w:rPr>
              <w:t>90000</w:t>
            </w:r>
          </w:p>
        </w:tc>
      </w:tr>
      <w:tr w14:paraId="7B7AA581">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0AE4FEE"/>
        </w:tc>
        <w:tc>
          <w:tcPr>
            <w:tcW w:w="2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9F54EF5">
            <w:pPr>
              <w:rPr>
                <w:rFonts w:hint="default" w:eastAsiaTheme="minorEastAsia"/>
                <w:lang w:val="en-US" w:eastAsia="zh-CN"/>
              </w:rPr>
            </w:pPr>
            <w:r>
              <w:rPr>
                <w:rFonts w:hint="eastAsia"/>
                <w:lang w:val="en-US" w:eastAsia="zh-CN"/>
              </w:rPr>
              <w:t>25</w:t>
            </w:r>
          </w:p>
        </w:tc>
        <w:tc>
          <w:tcPr>
            <w:tcW w:w="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E68EA7A">
            <w:pPr>
              <w:rPr>
                <w:rFonts w:hint="default" w:eastAsiaTheme="minorEastAsia"/>
                <w:lang w:val="en-US" w:eastAsia="zh-CN"/>
              </w:rPr>
            </w:pPr>
            <w:r>
              <w:rPr>
                <w:rFonts w:hint="eastAsia"/>
                <w:lang w:val="en-US" w:eastAsia="zh-CN"/>
              </w:rPr>
              <w:t>记3#</w:t>
            </w:r>
          </w:p>
        </w:tc>
        <w:tc>
          <w:tcPr>
            <w:tcW w:w="71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802AB76">
            <w:pPr>
              <w:tabs>
                <w:tab w:val="left" w:pos="825"/>
              </w:tabs>
              <w:jc w:val="left"/>
              <w:rPr>
                <w:rFonts w:hint="default" w:eastAsiaTheme="minorEastAsia"/>
                <w:lang w:val="en-US" w:eastAsia="zh-CN"/>
              </w:rPr>
            </w:pPr>
            <w:r>
              <w:rPr>
                <w:rFonts w:hint="eastAsia"/>
                <w:highlight w:val="none"/>
                <w:lang w:val="en-US" w:eastAsia="zh-CN"/>
              </w:rPr>
              <w:t>领甲乙材料</w:t>
            </w:r>
          </w:p>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D3A6C0C"/>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B212B4E"/>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E29C58C"/>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2FBE396">
            <w:pPr>
              <w:rPr>
                <w:rFonts w:hint="default" w:eastAsiaTheme="minorEastAsia"/>
                <w:lang w:val="en-US" w:eastAsia="zh-CN"/>
              </w:rPr>
            </w:pPr>
            <w:r>
              <w:rPr>
                <w:rFonts w:hint="eastAsia"/>
                <w:lang w:val="en-US" w:eastAsia="zh-CN"/>
              </w:rPr>
              <w:t>150</w:t>
            </w:r>
          </w:p>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1A00A02">
            <w:pPr>
              <w:rPr>
                <w:rFonts w:hint="default" w:eastAsiaTheme="minorEastAsia"/>
                <w:lang w:val="en-US" w:eastAsia="zh-CN"/>
              </w:rPr>
            </w:pPr>
            <w:r>
              <w:rPr>
                <w:rFonts w:hint="eastAsia"/>
                <w:lang w:val="en-US" w:eastAsia="zh-CN"/>
              </w:rPr>
              <w:t>500</w:t>
            </w:r>
          </w:p>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8D85A8D">
            <w:pPr>
              <w:rPr>
                <w:rFonts w:hint="default" w:eastAsiaTheme="minorEastAsia"/>
                <w:lang w:val="en-US" w:eastAsia="zh-CN"/>
              </w:rPr>
            </w:pPr>
            <w:r>
              <w:rPr>
                <w:rFonts w:hint="eastAsia"/>
                <w:lang w:val="en-US" w:eastAsia="zh-CN"/>
              </w:rPr>
              <w:t>75000</w:t>
            </w:r>
          </w:p>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6DB4BE2">
            <w:pPr>
              <w:rPr>
                <w:rFonts w:hint="default" w:eastAsiaTheme="minorEastAsia"/>
                <w:lang w:val="en-US" w:eastAsia="zh-CN"/>
              </w:rPr>
            </w:pPr>
            <w:r>
              <w:rPr>
                <w:rFonts w:hint="eastAsia"/>
                <w:lang w:val="en-US" w:eastAsia="zh-CN"/>
              </w:rPr>
              <w:t>30</w:t>
            </w:r>
          </w:p>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8D788DC">
            <w:pPr>
              <w:rPr>
                <w:rFonts w:hint="default" w:eastAsiaTheme="minorEastAsia"/>
                <w:lang w:val="en-US" w:eastAsia="zh-CN"/>
              </w:rPr>
            </w:pPr>
            <w:r>
              <w:rPr>
                <w:rFonts w:hint="eastAsia"/>
                <w:lang w:val="en-US" w:eastAsia="zh-CN"/>
              </w:rPr>
              <w:t>500</w:t>
            </w:r>
          </w:p>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243B886">
            <w:pPr>
              <w:rPr>
                <w:rFonts w:hint="default" w:eastAsiaTheme="minorEastAsia"/>
                <w:lang w:val="en-US" w:eastAsia="zh-CN"/>
              </w:rPr>
            </w:pPr>
            <w:r>
              <w:rPr>
                <w:rFonts w:hint="eastAsia"/>
                <w:lang w:val="en-US" w:eastAsia="zh-CN"/>
              </w:rPr>
              <w:t>15000</w:t>
            </w:r>
          </w:p>
        </w:tc>
      </w:tr>
      <w:tr w14:paraId="2B0824E0">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E07D18B"/>
        </w:tc>
        <w:tc>
          <w:tcPr>
            <w:tcW w:w="2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0AD01CD"/>
        </w:tc>
        <w:tc>
          <w:tcPr>
            <w:tcW w:w="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014F5DE"/>
        </w:tc>
        <w:tc>
          <w:tcPr>
            <w:tcW w:w="71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204D724"/>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2AB3670"/>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0157B2E"/>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4202810"/>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8713B48"/>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795D991"/>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233696B"/>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711245E"/>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D4470F2"/>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CA80E0E"/>
        </w:tc>
      </w:tr>
      <w:tr w14:paraId="66420CFD">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F953DEA"/>
        </w:tc>
        <w:tc>
          <w:tcPr>
            <w:tcW w:w="2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2138D9A"/>
        </w:tc>
        <w:tc>
          <w:tcPr>
            <w:tcW w:w="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192D04B"/>
        </w:tc>
        <w:tc>
          <w:tcPr>
            <w:tcW w:w="71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E51BF7F">
            <w:pPr>
              <w:jc w:val="left"/>
            </w:pPr>
            <w:r>
              <w:t>本月合计</w:t>
            </w:r>
          </w:p>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C45DE9C"/>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AD9B7FA"/>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13DCFCA"/>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24A245B"/>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594CB26"/>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7CC5340"/>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FBF81F9"/>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8502E48"/>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A6434F1"/>
        </w:tc>
      </w:tr>
    </w:tbl>
    <w:p w14:paraId="5D914A44">
      <w:pPr>
        <w:pStyle w:val="19"/>
        <w:spacing w:line="240" w:lineRule="auto"/>
      </w:pPr>
      <w:r>
        <w:t>表5.12明细分类账户</w:t>
      </w:r>
    </w:p>
    <w:p w14:paraId="750C4EA9">
      <w:pPr>
        <w:pStyle w:val="11"/>
        <w:spacing w:line="240" w:lineRule="auto"/>
        <w:rPr>
          <w:sz w:val="22"/>
          <w:szCs w:val="22"/>
        </w:rPr>
      </w:pPr>
      <w:r>
        <w:rPr>
          <w:sz w:val="22"/>
          <w:szCs w:val="22"/>
        </w:rPr>
        <w:t>账户名称:原材料——</w:t>
      </w:r>
      <w:r>
        <w:rPr>
          <w:rFonts w:hint="eastAsia"/>
          <w:sz w:val="22"/>
          <w:szCs w:val="22"/>
          <w:lang w:val="en-US" w:eastAsia="zh-CN"/>
        </w:rPr>
        <w:t>乙</w:t>
      </w:r>
      <w:r>
        <w:rPr>
          <w:sz w:val="22"/>
          <w:szCs w:val="22"/>
        </w:rPr>
        <w:t>材料</w:t>
      </w:r>
    </w:p>
    <w:tbl>
      <w:tblPr>
        <w:tblStyle w:val="17"/>
        <w:tblW w:w="5391" w:type="pct"/>
        <w:tblInd w:w="-566" w:type="dxa"/>
        <w:tblLayout w:type="fixed"/>
        <w:tblCellMar>
          <w:top w:w="0" w:type="dxa"/>
          <w:left w:w="0" w:type="dxa"/>
          <w:bottom w:w="0" w:type="dxa"/>
          <w:right w:w="0" w:type="dxa"/>
        </w:tblCellMar>
      </w:tblPr>
      <w:tblGrid>
        <w:gridCol w:w="522"/>
        <w:gridCol w:w="467"/>
        <w:gridCol w:w="733"/>
        <w:gridCol w:w="1313"/>
        <w:gridCol w:w="620"/>
        <w:gridCol w:w="708"/>
        <w:gridCol w:w="759"/>
        <w:gridCol w:w="545"/>
        <w:gridCol w:w="666"/>
        <w:gridCol w:w="756"/>
        <w:gridCol w:w="600"/>
        <w:gridCol w:w="736"/>
        <w:gridCol w:w="764"/>
      </w:tblGrid>
      <w:tr w14:paraId="76F87C77">
        <w:tblPrEx>
          <w:tblCellMar>
            <w:top w:w="0" w:type="dxa"/>
            <w:left w:w="0" w:type="dxa"/>
            <w:bottom w:w="0" w:type="dxa"/>
            <w:right w:w="0" w:type="dxa"/>
          </w:tblCellMar>
        </w:tblPrEx>
        <w:tc>
          <w:tcPr>
            <w:tcW w:w="538"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34DA47F">
            <w:pPr>
              <w:jc w:val="center"/>
              <w:rPr>
                <w:b/>
              </w:rPr>
            </w:pPr>
            <w:r>
              <w:rPr>
                <w:b/>
              </w:rPr>
              <w:t>20∗4年</w:t>
            </w:r>
          </w:p>
        </w:tc>
        <w:tc>
          <w:tcPr>
            <w:tcW w:w="398"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04FE7E0">
            <w:pPr>
              <w:jc w:val="center"/>
              <w:rPr>
                <w:b/>
              </w:rPr>
            </w:pPr>
            <w:r>
              <w:rPr>
                <w:b/>
              </w:rPr>
              <w:t>凭证编号</w:t>
            </w:r>
          </w:p>
        </w:tc>
        <w:tc>
          <w:tcPr>
            <w:tcW w:w="714" w:type="pct"/>
            <w:vMerge w:val="restart"/>
            <w:tcBorders>
              <w:top w:val="single" w:color="000000" w:sz="4" w:space="0"/>
              <w:left w:val="single" w:color="000000" w:sz="4" w:space="0"/>
              <w:right w:val="single" w:color="000000" w:sz="4" w:space="0"/>
            </w:tcBorders>
            <w:tcMar>
              <w:left w:w="108" w:type="dxa"/>
              <w:right w:w="108" w:type="dxa"/>
            </w:tcMar>
            <w:vAlign w:val="center"/>
          </w:tcPr>
          <w:p w14:paraId="24D73522">
            <w:pPr>
              <w:jc w:val="center"/>
              <w:rPr>
                <w:b/>
              </w:rPr>
            </w:pPr>
            <w:r>
              <w:rPr>
                <w:b/>
              </w:rPr>
              <w:t>摘要</w:t>
            </w:r>
          </w:p>
        </w:tc>
        <w:tc>
          <w:tcPr>
            <w:tcW w:w="1135" w:type="pct"/>
            <w:gridSpan w:val="3"/>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B24F2BD">
            <w:pPr>
              <w:jc w:val="center"/>
              <w:rPr>
                <w:b/>
              </w:rPr>
            </w:pPr>
            <w:r>
              <w:rPr>
                <w:b/>
              </w:rPr>
              <w:t>收入</w:t>
            </w:r>
          </w:p>
        </w:tc>
        <w:tc>
          <w:tcPr>
            <w:tcW w:w="1070" w:type="pct"/>
            <w:gridSpan w:val="3"/>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8DDA840">
            <w:pPr>
              <w:jc w:val="center"/>
              <w:rPr>
                <w:b/>
              </w:rPr>
            </w:pPr>
            <w:r>
              <w:rPr>
                <w:b/>
              </w:rPr>
              <w:t>发出</w:t>
            </w:r>
          </w:p>
        </w:tc>
        <w:tc>
          <w:tcPr>
            <w:tcW w:w="1142" w:type="pct"/>
            <w:gridSpan w:val="3"/>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11D4719">
            <w:pPr>
              <w:jc w:val="center"/>
              <w:rPr>
                <w:b/>
              </w:rPr>
            </w:pPr>
            <w:r>
              <w:rPr>
                <w:b/>
              </w:rPr>
              <w:t>结存</w:t>
            </w:r>
          </w:p>
        </w:tc>
      </w:tr>
      <w:tr w14:paraId="66F64226">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5430628">
            <w:pPr>
              <w:jc w:val="center"/>
              <w:rPr>
                <w:b/>
              </w:rPr>
            </w:pPr>
            <w:r>
              <w:rPr>
                <w:b/>
              </w:rPr>
              <w:t>月</w:t>
            </w:r>
          </w:p>
        </w:tc>
        <w:tc>
          <w:tcPr>
            <w:tcW w:w="254" w:type="pct"/>
            <w:tcBorders>
              <w:top w:val="single" w:color="000000" w:sz="4" w:space="0"/>
              <w:left w:val="single" w:color="000000" w:sz="4" w:space="0"/>
              <w:right w:val="single" w:color="000000" w:sz="4" w:space="0"/>
            </w:tcBorders>
            <w:tcMar>
              <w:left w:w="108" w:type="dxa"/>
              <w:right w:w="108" w:type="dxa"/>
            </w:tcMar>
            <w:vAlign w:val="center"/>
          </w:tcPr>
          <w:p w14:paraId="437FAC21">
            <w:pPr>
              <w:jc w:val="center"/>
              <w:rPr>
                <w:rFonts w:hint="eastAsia" w:eastAsiaTheme="minorEastAsia"/>
                <w:b/>
                <w:lang w:val="en-US" w:eastAsia="zh-CN"/>
              </w:rPr>
            </w:pPr>
            <w:r>
              <w:rPr>
                <w:rFonts w:hint="eastAsia" w:asciiTheme="minorHAnsi" w:eastAsiaTheme="minorEastAsia"/>
                <w:b/>
                <w:lang w:val="en-US" w:eastAsia="zh-CN"/>
              </w:rPr>
              <w:t>日</w:t>
            </w:r>
          </w:p>
        </w:tc>
        <w:tc>
          <w:tcPr>
            <w:tcW w:w="398"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EC0FD86">
            <w:pPr>
              <w:jc w:val="center"/>
              <w:rPr>
                <w:b/>
              </w:rPr>
            </w:pPr>
          </w:p>
        </w:tc>
        <w:tc>
          <w:tcPr>
            <w:tcW w:w="714" w:type="pct"/>
            <w:vMerge w:val="continue"/>
            <w:tcBorders>
              <w:left w:val="single" w:color="000000" w:sz="4" w:space="0"/>
              <w:bottom w:val="single" w:color="000000" w:sz="4" w:space="0"/>
              <w:right w:val="single" w:color="000000" w:sz="4" w:space="0"/>
            </w:tcBorders>
            <w:tcMar>
              <w:left w:w="108" w:type="dxa"/>
              <w:right w:w="108" w:type="dxa"/>
            </w:tcMar>
            <w:vAlign w:val="center"/>
          </w:tcPr>
          <w:p w14:paraId="5BE896B1">
            <w:pPr>
              <w:jc w:val="center"/>
              <w:rPr>
                <w:b/>
              </w:rPr>
            </w:pPr>
          </w:p>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DD0EEDF">
            <w:pPr>
              <w:jc w:val="center"/>
              <w:rPr>
                <w:b/>
              </w:rPr>
            </w:pPr>
            <w:r>
              <w:rPr>
                <w:b/>
              </w:rPr>
              <w:t>数量</w:t>
            </w:r>
          </w:p>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E6400E3">
            <w:pPr>
              <w:jc w:val="center"/>
              <w:rPr>
                <w:b/>
              </w:rPr>
            </w:pPr>
            <w:r>
              <w:rPr>
                <w:b/>
              </w:rPr>
              <w:t>单价</w:t>
            </w:r>
          </w:p>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AA31E58">
            <w:pPr>
              <w:jc w:val="center"/>
              <w:rPr>
                <w:b/>
              </w:rPr>
            </w:pPr>
            <w:r>
              <w:rPr>
                <w:b/>
              </w:rPr>
              <w:t>金额</w:t>
            </w:r>
          </w:p>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4623278">
            <w:pPr>
              <w:jc w:val="center"/>
              <w:rPr>
                <w:b/>
              </w:rPr>
            </w:pPr>
            <w:r>
              <w:rPr>
                <w:b/>
              </w:rPr>
              <w:t>数量</w:t>
            </w:r>
          </w:p>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38F72B1">
            <w:pPr>
              <w:jc w:val="center"/>
              <w:rPr>
                <w:b/>
              </w:rPr>
            </w:pPr>
            <w:r>
              <w:rPr>
                <w:b/>
              </w:rPr>
              <w:t>单价</w:t>
            </w:r>
          </w:p>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829BE13">
            <w:pPr>
              <w:jc w:val="center"/>
              <w:rPr>
                <w:b/>
              </w:rPr>
            </w:pPr>
            <w:r>
              <w:rPr>
                <w:b/>
              </w:rPr>
              <w:t>金额</w:t>
            </w:r>
          </w:p>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6D2B6B6">
            <w:pPr>
              <w:jc w:val="center"/>
              <w:rPr>
                <w:b/>
              </w:rPr>
            </w:pPr>
            <w:r>
              <w:rPr>
                <w:b/>
              </w:rPr>
              <w:t>数量</w:t>
            </w:r>
          </w:p>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A5DD555">
            <w:pPr>
              <w:jc w:val="center"/>
              <w:rPr>
                <w:b/>
              </w:rPr>
            </w:pPr>
            <w:r>
              <w:rPr>
                <w:b/>
              </w:rPr>
              <w:t>单价</w:t>
            </w:r>
          </w:p>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C7349BF">
            <w:pPr>
              <w:jc w:val="center"/>
              <w:rPr>
                <w:b/>
              </w:rPr>
            </w:pPr>
            <w:r>
              <w:rPr>
                <w:b/>
              </w:rPr>
              <w:t>金额</w:t>
            </w:r>
          </w:p>
        </w:tc>
      </w:tr>
      <w:tr w14:paraId="0CFEDD05">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EDC5034">
            <w:pPr>
              <w:rPr>
                <w:rFonts w:hint="eastAsia" w:eastAsiaTheme="minorEastAsia"/>
                <w:lang w:val="en-US" w:eastAsia="zh-CN"/>
              </w:rPr>
            </w:pPr>
            <w:r>
              <w:rPr>
                <w:rFonts w:hint="eastAsia" w:asciiTheme="minorHAnsi" w:eastAsiaTheme="minorEastAsia"/>
                <w:lang w:val="en-US" w:eastAsia="zh-CN"/>
              </w:rPr>
              <w:t>6</w:t>
            </w:r>
          </w:p>
        </w:tc>
        <w:tc>
          <w:tcPr>
            <w:tcW w:w="2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FBD1E98">
            <w:pPr>
              <w:rPr>
                <w:rFonts w:hint="eastAsia" w:eastAsiaTheme="minorEastAsia"/>
                <w:lang w:val="en-US" w:eastAsia="zh-CN"/>
              </w:rPr>
            </w:pPr>
            <w:r>
              <w:rPr>
                <w:rFonts w:hint="eastAsia" w:asciiTheme="minorHAnsi" w:eastAsiaTheme="minorEastAsia"/>
                <w:lang w:val="en-US" w:eastAsia="zh-CN"/>
              </w:rPr>
              <w:t>1</w:t>
            </w:r>
          </w:p>
        </w:tc>
        <w:tc>
          <w:tcPr>
            <w:tcW w:w="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FBA3DD6">
            <w:pPr>
              <w:jc w:val="left"/>
            </w:pPr>
          </w:p>
        </w:tc>
        <w:tc>
          <w:tcPr>
            <w:tcW w:w="71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55DC308">
            <w:pPr>
              <w:jc w:val="left"/>
              <w:rPr>
                <w:rFonts w:hint="default" w:eastAsiaTheme="minorEastAsia"/>
                <w:lang w:val="en-US" w:eastAsia="zh-CN"/>
              </w:rPr>
            </w:pPr>
            <w:r>
              <w:rPr>
                <w:rFonts w:hint="eastAsia" w:asciiTheme="minorHAnsi" w:eastAsiaTheme="minorEastAsia"/>
                <w:lang w:val="en-US" w:eastAsia="zh-CN"/>
              </w:rPr>
              <w:t>期初余额</w:t>
            </w:r>
          </w:p>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81E5C89"/>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143DC5D"/>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67C2650"/>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329EB73"/>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C13CCD6"/>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766C129"/>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7757235">
            <w:pPr>
              <w:rPr>
                <w:rFonts w:hint="default" w:eastAsiaTheme="minorEastAsia"/>
                <w:lang w:val="en-US" w:eastAsia="zh-CN"/>
              </w:rPr>
            </w:pPr>
            <w:r>
              <w:rPr>
                <w:rFonts w:hint="eastAsia"/>
                <w:lang w:val="en-US" w:eastAsia="zh-CN"/>
              </w:rPr>
              <w:t>15</w:t>
            </w:r>
            <w:r>
              <w:rPr>
                <w:rFonts w:hint="eastAsia" w:asciiTheme="minorHAnsi" w:eastAsiaTheme="minorEastAsia"/>
                <w:lang w:val="en-US" w:eastAsia="zh-CN"/>
              </w:rPr>
              <w:t>0</w:t>
            </w:r>
          </w:p>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90B3DB1">
            <w:pPr>
              <w:rPr>
                <w:rFonts w:hint="default" w:eastAsiaTheme="minorEastAsia"/>
                <w:lang w:val="en-US" w:eastAsia="zh-CN"/>
              </w:rPr>
            </w:pPr>
            <w:r>
              <w:rPr>
                <w:rFonts w:hint="eastAsia"/>
                <w:lang w:val="en-US" w:eastAsia="zh-CN"/>
              </w:rPr>
              <w:t>2</w:t>
            </w:r>
            <w:r>
              <w:rPr>
                <w:rFonts w:hint="eastAsia" w:asciiTheme="minorHAnsi" w:eastAsiaTheme="minorEastAsia"/>
                <w:lang w:val="en-US" w:eastAsia="zh-CN"/>
              </w:rPr>
              <w:t>00</w:t>
            </w:r>
          </w:p>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81D0536">
            <w:pPr>
              <w:rPr>
                <w:rFonts w:hint="default" w:eastAsiaTheme="minorEastAsia"/>
                <w:lang w:val="en-US" w:eastAsia="zh-CN"/>
              </w:rPr>
            </w:pPr>
            <w:r>
              <w:rPr>
                <w:rFonts w:hint="eastAsia"/>
                <w:lang w:val="en-US" w:eastAsia="zh-CN"/>
              </w:rPr>
              <w:t>3</w:t>
            </w:r>
            <w:r>
              <w:rPr>
                <w:rFonts w:hint="eastAsia" w:asciiTheme="minorHAnsi" w:eastAsiaTheme="minorEastAsia"/>
                <w:lang w:val="en-US" w:eastAsia="zh-CN"/>
              </w:rPr>
              <w:t>0000</w:t>
            </w:r>
          </w:p>
        </w:tc>
      </w:tr>
      <w:tr w14:paraId="4FAF62BC">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B7CD1A8"/>
        </w:tc>
        <w:tc>
          <w:tcPr>
            <w:tcW w:w="2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7CAA276">
            <w:pPr>
              <w:rPr>
                <w:rFonts w:hint="default" w:eastAsiaTheme="minorEastAsia"/>
                <w:lang w:val="en-US" w:eastAsia="zh-CN"/>
              </w:rPr>
            </w:pPr>
            <w:r>
              <w:rPr>
                <w:rFonts w:hint="eastAsia"/>
                <w:lang w:val="en-US" w:eastAsia="zh-CN"/>
              </w:rPr>
              <w:t>16</w:t>
            </w:r>
          </w:p>
        </w:tc>
        <w:tc>
          <w:tcPr>
            <w:tcW w:w="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C8A30D2">
            <w:pPr>
              <w:rPr>
                <w:rFonts w:hint="default" w:eastAsiaTheme="minorEastAsia"/>
                <w:lang w:val="en-US" w:eastAsia="zh-CN"/>
              </w:rPr>
            </w:pPr>
            <w:r>
              <w:rPr>
                <w:rFonts w:hint="eastAsia" w:asciiTheme="minorHAnsi" w:eastAsiaTheme="minorEastAsia"/>
                <w:lang w:val="en-US" w:eastAsia="zh-CN"/>
              </w:rPr>
              <w:t>记</w:t>
            </w:r>
            <w:r>
              <w:rPr>
                <w:rFonts w:hint="eastAsia"/>
                <w:lang w:val="en-US" w:eastAsia="zh-CN"/>
              </w:rPr>
              <w:t>2</w:t>
            </w:r>
            <w:r>
              <w:rPr>
                <w:rFonts w:hint="eastAsia" w:asciiTheme="minorHAnsi" w:eastAsiaTheme="minorEastAsia"/>
                <w:lang w:val="en-US" w:eastAsia="zh-CN"/>
              </w:rPr>
              <w:t>#</w:t>
            </w:r>
          </w:p>
        </w:tc>
        <w:tc>
          <w:tcPr>
            <w:tcW w:w="71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B06539E">
            <w:r>
              <w:rPr>
                <w:rFonts w:hint="eastAsia" w:asciiTheme="minorHAnsi" w:eastAsiaTheme="minorEastAsia"/>
                <w:lang w:val="en-US" w:eastAsia="zh-CN"/>
              </w:rPr>
              <w:t>购入</w:t>
            </w:r>
            <w:r>
              <w:rPr>
                <w:rFonts w:hint="eastAsia"/>
                <w:lang w:val="en-US" w:eastAsia="zh-CN"/>
              </w:rPr>
              <w:t>乙</w:t>
            </w:r>
            <w:r>
              <w:rPr>
                <w:rFonts w:hint="eastAsia" w:asciiTheme="minorHAnsi" w:eastAsiaTheme="minorEastAsia"/>
                <w:lang w:val="en-US" w:eastAsia="zh-CN"/>
              </w:rPr>
              <w:t>材料</w:t>
            </w:r>
          </w:p>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32516BB">
            <w:pPr>
              <w:rPr>
                <w:rFonts w:hint="default" w:eastAsiaTheme="minorEastAsia"/>
                <w:lang w:val="en-US" w:eastAsia="zh-CN"/>
              </w:rPr>
            </w:pPr>
            <w:r>
              <w:rPr>
                <w:rFonts w:hint="eastAsia" w:asciiTheme="minorHAnsi" w:eastAsiaTheme="minorEastAsia"/>
                <w:lang w:val="en-US" w:eastAsia="zh-CN"/>
              </w:rPr>
              <w:t>1</w:t>
            </w:r>
            <w:r>
              <w:rPr>
                <w:rFonts w:hint="eastAsia"/>
                <w:lang w:val="en-US" w:eastAsia="zh-CN"/>
              </w:rPr>
              <w:t>2</w:t>
            </w:r>
            <w:r>
              <w:rPr>
                <w:rFonts w:hint="eastAsia" w:asciiTheme="minorHAnsi" w:eastAsiaTheme="minorEastAsia"/>
                <w:lang w:val="en-US" w:eastAsia="zh-CN"/>
              </w:rPr>
              <w:t>0</w:t>
            </w:r>
          </w:p>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FE2DAB6">
            <w:pPr>
              <w:rPr>
                <w:rFonts w:hint="default" w:eastAsiaTheme="minorEastAsia"/>
                <w:lang w:val="en-US" w:eastAsia="zh-CN"/>
              </w:rPr>
            </w:pPr>
            <w:r>
              <w:rPr>
                <w:rFonts w:hint="eastAsia"/>
                <w:lang w:val="en-US" w:eastAsia="zh-CN"/>
              </w:rPr>
              <w:t>2</w:t>
            </w:r>
            <w:r>
              <w:rPr>
                <w:rFonts w:hint="eastAsia" w:asciiTheme="minorHAnsi" w:eastAsiaTheme="minorEastAsia"/>
                <w:lang w:val="en-US" w:eastAsia="zh-CN"/>
              </w:rPr>
              <w:t>00</w:t>
            </w:r>
          </w:p>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35C9D5B">
            <w:pPr>
              <w:rPr>
                <w:rFonts w:hint="default" w:eastAsiaTheme="minorEastAsia"/>
                <w:lang w:val="en-US" w:eastAsia="zh-CN"/>
              </w:rPr>
            </w:pPr>
            <w:r>
              <w:rPr>
                <w:rFonts w:hint="eastAsia"/>
                <w:lang w:val="en-US" w:eastAsia="zh-CN"/>
              </w:rPr>
              <w:t>24</w:t>
            </w:r>
            <w:r>
              <w:rPr>
                <w:rFonts w:hint="eastAsia" w:asciiTheme="minorHAnsi" w:eastAsiaTheme="minorEastAsia"/>
                <w:lang w:val="en-US" w:eastAsia="zh-CN"/>
              </w:rPr>
              <w:t>000</w:t>
            </w:r>
          </w:p>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C2EBCD8"/>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B1B0E2A"/>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9A43984"/>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ABF960F">
            <w:pPr>
              <w:rPr>
                <w:rFonts w:hint="default" w:eastAsiaTheme="minorEastAsia"/>
                <w:lang w:val="en-US" w:eastAsia="zh-CN"/>
              </w:rPr>
            </w:pPr>
            <w:r>
              <w:rPr>
                <w:rFonts w:hint="eastAsia"/>
                <w:lang w:val="en-US" w:eastAsia="zh-CN"/>
              </w:rPr>
              <w:t>27</w:t>
            </w:r>
            <w:r>
              <w:rPr>
                <w:rFonts w:hint="eastAsia" w:asciiTheme="minorHAnsi" w:eastAsiaTheme="minorEastAsia"/>
                <w:lang w:val="en-US" w:eastAsia="zh-CN"/>
              </w:rPr>
              <w:t>0</w:t>
            </w:r>
          </w:p>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9498B9D">
            <w:pPr>
              <w:rPr>
                <w:rFonts w:hint="default" w:eastAsiaTheme="minorEastAsia"/>
                <w:lang w:val="en-US" w:eastAsia="zh-CN"/>
              </w:rPr>
            </w:pPr>
            <w:r>
              <w:rPr>
                <w:rFonts w:hint="eastAsia"/>
                <w:lang w:val="en-US" w:eastAsia="zh-CN"/>
              </w:rPr>
              <w:t>2</w:t>
            </w:r>
            <w:r>
              <w:rPr>
                <w:rFonts w:hint="eastAsia" w:asciiTheme="minorHAnsi" w:eastAsiaTheme="minorEastAsia"/>
                <w:lang w:val="en-US" w:eastAsia="zh-CN"/>
              </w:rPr>
              <w:t>00</w:t>
            </w:r>
          </w:p>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28D35FB">
            <w:pPr>
              <w:rPr>
                <w:rFonts w:hint="default" w:eastAsiaTheme="minorEastAsia"/>
                <w:lang w:val="en-US" w:eastAsia="zh-CN"/>
              </w:rPr>
            </w:pPr>
            <w:r>
              <w:rPr>
                <w:rFonts w:hint="eastAsia"/>
                <w:lang w:val="en-US" w:eastAsia="zh-CN"/>
              </w:rPr>
              <w:t>54</w:t>
            </w:r>
            <w:r>
              <w:rPr>
                <w:rFonts w:hint="eastAsia" w:asciiTheme="minorHAnsi" w:eastAsiaTheme="minorEastAsia"/>
                <w:lang w:val="en-US" w:eastAsia="zh-CN"/>
              </w:rPr>
              <w:t>000</w:t>
            </w:r>
          </w:p>
        </w:tc>
      </w:tr>
      <w:tr w14:paraId="0DE8033F">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1C3BB9A"/>
        </w:tc>
        <w:tc>
          <w:tcPr>
            <w:tcW w:w="2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FE4D207">
            <w:r>
              <w:rPr>
                <w:rFonts w:hint="eastAsia"/>
                <w:lang w:val="en-US" w:eastAsia="zh-CN"/>
              </w:rPr>
              <w:t>25</w:t>
            </w:r>
          </w:p>
        </w:tc>
        <w:tc>
          <w:tcPr>
            <w:tcW w:w="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13B7E5C">
            <w:r>
              <w:rPr>
                <w:rFonts w:hint="eastAsia"/>
                <w:lang w:val="en-US" w:eastAsia="zh-CN"/>
              </w:rPr>
              <w:t>记3#</w:t>
            </w:r>
          </w:p>
        </w:tc>
        <w:tc>
          <w:tcPr>
            <w:tcW w:w="71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2AFB6AC">
            <w:pPr>
              <w:tabs>
                <w:tab w:val="left" w:pos="825"/>
              </w:tabs>
              <w:jc w:val="left"/>
            </w:pPr>
            <w:r>
              <w:rPr>
                <w:rFonts w:hint="eastAsia"/>
                <w:highlight w:val="none"/>
                <w:lang w:val="en-US" w:eastAsia="zh-CN"/>
              </w:rPr>
              <w:t>领甲乙材料</w:t>
            </w:r>
          </w:p>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1299763"/>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1C74094"/>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037079C"/>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8A3F0E9">
            <w:r>
              <w:rPr>
                <w:rFonts w:hint="eastAsia"/>
                <w:lang w:val="en-US" w:eastAsia="zh-CN"/>
              </w:rPr>
              <w:t>200</w:t>
            </w:r>
          </w:p>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47262B1">
            <w:r>
              <w:rPr>
                <w:rFonts w:hint="eastAsia"/>
                <w:lang w:val="en-US" w:eastAsia="zh-CN"/>
              </w:rPr>
              <w:t>200</w:t>
            </w:r>
          </w:p>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4552624">
            <w:r>
              <w:rPr>
                <w:rFonts w:hint="eastAsia"/>
                <w:lang w:val="en-US" w:eastAsia="zh-CN"/>
              </w:rPr>
              <w:t>40000</w:t>
            </w:r>
          </w:p>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DC40F03">
            <w:r>
              <w:rPr>
                <w:rFonts w:hint="eastAsia"/>
                <w:lang w:val="en-US" w:eastAsia="zh-CN"/>
              </w:rPr>
              <w:t>70</w:t>
            </w:r>
          </w:p>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E7AE18B">
            <w:r>
              <w:rPr>
                <w:rFonts w:hint="eastAsia"/>
                <w:lang w:val="en-US" w:eastAsia="zh-CN"/>
              </w:rPr>
              <w:t>200</w:t>
            </w:r>
          </w:p>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7185901">
            <w:r>
              <w:rPr>
                <w:rFonts w:hint="eastAsia"/>
                <w:lang w:val="en-US" w:eastAsia="zh-CN"/>
              </w:rPr>
              <w:t>14000</w:t>
            </w:r>
          </w:p>
        </w:tc>
      </w:tr>
      <w:tr w14:paraId="63CD6679">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87B0C9D"/>
        </w:tc>
        <w:tc>
          <w:tcPr>
            <w:tcW w:w="2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49964A8"/>
        </w:tc>
        <w:tc>
          <w:tcPr>
            <w:tcW w:w="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F3231AD"/>
        </w:tc>
        <w:tc>
          <w:tcPr>
            <w:tcW w:w="71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A6688F0"/>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3EEC4D9"/>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2E82F5B"/>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1825D1B"/>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2B4CFB6"/>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B733CDA"/>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53F40ED"/>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7CBDECA"/>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DC105BE"/>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5749382"/>
        </w:tc>
      </w:tr>
      <w:tr w14:paraId="61266531">
        <w:tblPrEx>
          <w:tblCellMar>
            <w:top w:w="0" w:type="dxa"/>
            <w:left w:w="0" w:type="dxa"/>
            <w:bottom w:w="0" w:type="dxa"/>
            <w:right w:w="0" w:type="dxa"/>
          </w:tblCellMar>
        </w:tblPrEx>
        <w:tc>
          <w:tcPr>
            <w:tcW w:w="28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F87637C"/>
        </w:tc>
        <w:tc>
          <w:tcPr>
            <w:tcW w:w="2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67B4BEF"/>
        </w:tc>
        <w:tc>
          <w:tcPr>
            <w:tcW w:w="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74586DF"/>
        </w:tc>
        <w:tc>
          <w:tcPr>
            <w:tcW w:w="71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CFB2C05">
            <w:pPr>
              <w:jc w:val="left"/>
            </w:pPr>
            <w:r>
              <w:t>本月合计</w:t>
            </w:r>
          </w:p>
        </w:tc>
        <w:tc>
          <w:tcPr>
            <w:tcW w:w="33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A69AC50"/>
        </w:tc>
        <w:tc>
          <w:tcPr>
            <w:tcW w:w="38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E70DAC6"/>
        </w:tc>
        <w:tc>
          <w:tcPr>
            <w:tcW w:w="41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1D66D06"/>
        </w:tc>
        <w:tc>
          <w:tcPr>
            <w:tcW w:w="29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761B05D"/>
        </w:tc>
        <w:tc>
          <w:tcPr>
            <w:tcW w:w="362"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C3D7CFA"/>
        </w:tc>
        <w:tc>
          <w:tcPr>
            <w:tcW w:w="411"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787191B"/>
        </w:tc>
        <w:tc>
          <w:tcPr>
            <w:tcW w:w="326"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1CBE0A9"/>
        </w:tc>
        <w:tc>
          <w:tcPr>
            <w:tcW w:w="400"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9A03DE8"/>
        </w:tc>
        <w:tc>
          <w:tcPr>
            <w:tcW w:w="41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FC8C7E0"/>
        </w:tc>
      </w:tr>
    </w:tbl>
    <w:p w14:paraId="10E24E5B">
      <w:pPr>
        <w:pStyle w:val="4"/>
        <w:numPr>
          <w:ilvl w:val="0"/>
          <w:numId w:val="14"/>
        </w:numPr>
        <w:topLinePunct w:val="0"/>
        <w:ind w:left="0" w:leftChars="0" w:firstLine="0" w:firstLineChars="0"/>
        <w:rPr>
          <w:rFonts w:hint="eastAsia" w:ascii="黑体" w:hAnsi="黑体" w:eastAsia="黑体" w:cs="黑体"/>
          <w:b w:val="0"/>
        </w:rPr>
      </w:pPr>
      <w:r>
        <w:t>账户发生额与余额对照表编制训练</w:t>
      </w:r>
    </w:p>
    <w:p w14:paraId="6732D50E">
      <w:pPr>
        <w:pStyle w:val="11"/>
      </w:pPr>
      <w:r>
        <w:t>有两种方式可以编制总分类账户与明细分类账户发生额及余额对照表：</w:t>
      </w:r>
    </w:p>
    <w:p w14:paraId="2DACBFEA">
      <w:pPr>
        <w:pStyle w:val="11"/>
      </w:pPr>
      <w:r>
        <w:t>一是直接根据总账和明细账上登记的期初余额、本期发生额的合计数和期末余额过入总分类账户与明细分类账户发生额及余额对照表中。如下以原材料总账和明细账为例。</w:t>
      </w:r>
    </w:p>
    <w:p w14:paraId="62977E79">
      <w:pPr>
        <w:pStyle w:val="19"/>
      </w:pPr>
      <w:r>
        <w:t>表5.14总分类账户与明细分类账户发生额及余额对照表1</w:t>
      </w:r>
    </w:p>
    <w:tbl>
      <w:tblPr>
        <w:tblStyle w:val="17"/>
        <w:tblW w:w="5000" w:type="pct"/>
        <w:tblInd w:w="0" w:type="dxa"/>
        <w:tblLayout w:type="autofit"/>
        <w:tblCellMar>
          <w:top w:w="0" w:type="dxa"/>
          <w:left w:w="0" w:type="dxa"/>
          <w:bottom w:w="0" w:type="dxa"/>
          <w:right w:w="0" w:type="dxa"/>
        </w:tblCellMar>
      </w:tblPr>
      <w:tblGrid>
        <w:gridCol w:w="2309"/>
        <w:gridCol w:w="1037"/>
        <w:gridCol w:w="885"/>
        <w:gridCol w:w="1038"/>
        <w:gridCol w:w="1185"/>
        <w:gridCol w:w="1185"/>
        <w:gridCol w:w="883"/>
      </w:tblGrid>
      <w:tr w14:paraId="75CBD8AF">
        <w:tblPrEx>
          <w:tblCellMar>
            <w:top w:w="0" w:type="dxa"/>
            <w:left w:w="0" w:type="dxa"/>
            <w:bottom w:w="0" w:type="dxa"/>
            <w:right w:w="0" w:type="dxa"/>
          </w:tblCellMar>
        </w:tblPrEx>
        <w:tc>
          <w:tcPr>
            <w:tcW w:w="1354"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F609B50">
            <w:pPr>
              <w:jc w:val="center"/>
              <w:rPr>
                <w:b/>
              </w:rPr>
            </w:pPr>
            <w:r>
              <w:rPr>
                <w:b/>
              </w:rPr>
              <w:t>账户名称</w:t>
            </w:r>
          </w:p>
        </w:tc>
        <w:tc>
          <w:tcPr>
            <w:tcW w:w="1127"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1BB5093">
            <w:pPr>
              <w:jc w:val="center"/>
              <w:rPr>
                <w:b/>
              </w:rPr>
            </w:pPr>
            <w:r>
              <w:rPr>
                <w:b/>
              </w:rPr>
              <w:t>月初余额</w:t>
            </w:r>
          </w:p>
        </w:tc>
        <w:tc>
          <w:tcPr>
            <w:tcW w:w="1304"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A11F2E5">
            <w:pPr>
              <w:jc w:val="center"/>
              <w:rPr>
                <w:b/>
              </w:rPr>
            </w:pPr>
            <w:r>
              <w:rPr>
                <w:b/>
              </w:rPr>
              <w:t>本月发生额</w:t>
            </w:r>
          </w:p>
        </w:tc>
        <w:tc>
          <w:tcPr>
            <w:tcW w:w="1213"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F2AB44D">
            <w:pPr>
              <w:jc w:val="center"/>
              <w:rPr>
                <w:b/>
              </w:rPr>
            </w:pPr>
            <w:r>
              <w:rPr>
                <w:b/>
              </w:rPr>
              <w:t>月末余额</w:t>
            </w:r>
          </w:p>
        </w:tc>
      </w:tr>
      <w:tr w14:paraId="671ECABA">
        <w:tblPrEx>
          <w:tblCellMar>
            <w:top w:w="0" w:type="dxa"/>
            <w:left w:w="0" w:type="dxa"/>
            <w:bottom w:w="0" w:type="dxa"/>
            <w:right w:w="0" w:type="dxa"/>
          </w:tblCellMar>
        </w:tblPrEx>
        <w:tc>
          <w:tcPr>
            <w:tcW w:w="1354"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0546B84">
            <w:pPr>
              <w:jc w:val="center"/>
              <w:rPr>
                <w:b/>
              </w:rPr>
            </w:pPr>
          </w:p>
        </w:tc>
        <w:tc>
          <w:tcPr>
            <w:tcW w:w="6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157BDF7">
            <w:pPr>
              <w:jc w:val="center"/>
              <w:rPr>
                <w:b/>
              </w:rPr>
            </w:pPr>
            <w:r>
              <w:rPr>
                <w:b/>
              </w:rPr>
              <w:t>借方</w:t>
            </w:r>
          </w:p>
        </w:tc>
        <w:tc>
          <w:tcPr>
            <w:tcW w:w="51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BC44C45">
            <w:pPr>
              <w:jc w:val="center"/>
              <w:rPr>
                <w:b/>
              </w:rPr>
            </w:pPr>
            <w:r>
              <w:rPr>
                <w:b/>
              </w:rPr>
              <w:t>贷方</w:t>
            </w:r>
          </w:p>
        </w:tc>
        <w:tc>
          <w:tcPr>
            <w:tcW w:w="60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D04DF81">
            <w:pPr>
              <w:jc w:val="center"/>
              <w:rPr>
                <w:b/>
              </w:rPr>
            </w:pPr>
            <w:r>
              <w:rPr>
                <w:b/>
              </w:rPr>
              <w:t>借方</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72C8123">
            <w:pPr>
              <w:jc w:val="center"/>
              <w:rPr>
                <w:b/>
              </w:rPr>
            </w:pPr>
            <w:r>
              <w:rPr>
                <w:b/>
              </w:rPr>
              <w:t>贷方</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86CA99C">
            <w:pPr>
              <w:jc w:val="center"/>
              <w:rPr>
                <w:b/>
              </w:rPr>
            </w:pPr>
            <w:r>
              <w:rPr>
                <w:b/>
              </w:rPr>
              <w:t>借方</w:t>
            </w:r>
          </w:p>
        </w:tc>
        <w:tc>
          <w:tcPr>
            <w:tcW w:w="51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F6C76D1">
            <w:pPr>
              <w:jc w:val="center"/>
              <w:rPr>
                <w:b/>
              </w:rPr>
            </w:pPr>
            <w:r>
              <w:rPr>
                <w:b/>
              </w:rPr>
              <w:t>贷方</w:t>
            </w:r>
          </w:p>
        </w:tc>
      </w:tr>
      <w:tr w14:paraId="15341CFF">
        <w:tblPrEx>
          <w:tblCellMar>
            <w:top w:w="0" w:type="dxa"/>
            <w:left w:w="0" w:type="dxa"/>
            <w:bottom w:w="0" w:type="dxa"/>
            <w:right w:w="0" w:type="dxa"/>
          </w:tblCellMar>
        </w:tblPrEx>
        <w:tc>
          <w:tcPr>
            <w:tcW w:w="13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5B37E1A">
            <w:pPr>
              <w:jc w:val="center"/>
            </w:pPr>
            <w:r>
              <w:t>原材料</w:t>
            </w:r>
          </w:p>
        </w:tc>
        <w:tc>
          <w:tcPr>
            <w:tcW w:w="6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0AE4C9C">
            <w:pPr>
              <w:jc w:val="center"/>
            </w:pPr>
            <w:r>
              <w:t>70000</w:t>
            </w:r>
          </w:p>
        </w:tc>
        <w:tc>
          <w:tcPr>
            <w:tcW w:w="51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353588D">
            <w:pPr>
              <w:jc w:val="center"/>
            </w:pPr>
          </w:p>
        </w:tc>
        <w:tc>
          <w:tcPr>
            <w:tcW w:w="60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DFAF801">
            <w:pPr>
              <w:jc w:val="center"/>
            </w:pPr>
            <w:r>
              <w:t>74000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D042D76">
            <w:pPr>
              <w:jc w:val="center"/>
            </w:pPr>
            <w:r>
              <w:t>115000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A647777">
            <w:pPr>
              <w:jc w:val="center"/>
            </w:pPr>
            <w:r>
              <w:t>29000</w:t>
            </w:r>
          </w:p>
        </w:tc>
        <w:tc>
          <w:tcPr>
            <w:tcW w:w="51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1926134">
            <w:pPr>
              <w:jc w:val="center"/>
            </w:pPr>
          </w:p>
        </w:tc>
      </w:tr>
      <w:tr w14:paraId="3D62417D">
        <w:tblPrEx>
          <w:tblCellMar>
            <w:top w:w="0" w:type="dxa"/>
            <w:left w:w="0" w:type="dxa"/>
            <w:bottom w:w="0" w:type="dxa"/>
            <w:right w:w="0" w:type="dxa"/>
          </w:tblCellMar>
        </w:tblPrEx>
        <w:tc>
          <w:tcPr>
            <w:tcW w:w="13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05AE591">
            <w:pPr>
              <w:jc w:val="center"/>
            </w:pPr>
            <w:r>
              <w:t>原材料—甲材料</w:t>
            </w:r>
          </w:p>
        </w:tc>
        <w:tc>
          <w:tcPr>
            <w:tcW w:w="6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D9604E5">
            <w:pPr>
              <w:jc w:val="center"/>
            </w:pPr>
            <w:r>
              <w:t>40000</w:t>
            </w:r>
          </w:p>
        </w:tc>
        <w:tc>
          <w:tcPr>
            <w:tcW w:w="51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8BF9697">
            <w:pPr>
              <w:jc w:val="center"/>
            </w:pPr>
          </w:p>
        </w:tc>
        <w:tc>
          <w:tcPr>
            <w:tcW w:w="60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09BF7D4">
            <w:pPr>
              <w:jc w:val="center"/>
            </w:pPr>
            <w:r>
              <w:t>50000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22C9A0F">
            <w:pPr>
              <w:jc w:val="center"/>
            </w:pPr>
            <w:r>
              <w:t>75000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4E520B6">
            <w:pPr>
              <w:jc w:val="center"/>
            </w:pPr>
            <w:r>
              <w:t>15000</w:t>
            </w:r>
          </w:p>
        </w:tc>
        <w:tc>
          <w:tcPr>
            <w:tcW w:w="51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EBE0E56">
            <w:pPr>
              <w:jc w:val="center"/>
            </w:pPr>
          </w:p>
        </w:tc>
      </w:tr>
      <w:tr w14:paraId="4DF92FBA">
        <w:tblPrEx>
          <w:tblCellMar>
            <w:top w:w="0" w:type="dxa"/>
            <w:left w:w="0" w:type="dxa"/>
            <w:bottom w:w="0" w:type="dxa"/>
            <w:right w:w="0" w:type="dxa"/>
          </w:tblCellMar>
        </w:tblPrEx>
        <w:tc>
          <w:tcPr>
            <w:tcW w:w="13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04E1A3C">
            <w:pPr>
              <w:jc w:val="center"/>
            </w:pPr>
            <w:r>
              <w:t>原材料—乙材料</w:t>
            </w:r>
          </w:p>
        </w:tc>
        <w:tc>
          <w:tcPr>
            <w:tcW w:w="6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5EE0F82">
            <w:pPr>
              <w:jc w:val="center"/>
            </w:pPr>
            <w:r>
              <w:t>30000</w:t>
            </w:r>
          </w:p>
        </w:tc>
        <w:tc>
          <w:tcPr>
            <w:tcW w:w="51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802F7EC">
            <w:pPr>
              <w:jc w:val="center"/>
            </w:pPr>
          </w:p>
        </w:tc>
        <w:tc>
          <w:tcPr>
            <w:tcW w:w="60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4A0D587">
            <w:pPr>
              <w:jc w:val="center"/>
            </w:pPr>
            <w:r>
              <w:t>24000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2F1F480">
            <w:pPr>
              <w:jc w:val="center"/>
            </w:pPr>
            <w:r>
              <w:t>40000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CA626A2">
            <w:pPr>
              <w:jc w:val="center"/>
            </w:pPr>
            <w:r>
              <w:t>14000</w:t>
            </w:r>
          </w:p>
        </w:tc>
        <w:tc>
          <w:tcPr>
            <w:tcW w:w="51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C0A7683">
            <w:pPr>
              <w:jc w:val="center"/>
            </w:pPr>
          </w:p>
        </w:tc>
      </w:tr>
      <w:tr w14:paraId="6F8558CA">
        <w:tblPrEx>
          <w:tblCellMar>
            <w:top w:w="0" w:type="dxa"/>
            <w:left w:w="0" w:type="dxa"/>
            <w:bottom w:w="0" w:type="dxa"/>
            <w:right w:w="0" w:type="dxa"/>
          </w:tblCellMar>
        </w:tblPrEx>
        <w:tc>
          <w:tcPr>
            <w:tcW w:w="13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12ABB7E">
            <w:pPr>
              <w:jc w:val="center"/>
            </w:pPr>
          </w:p>
        </w:tc>
        <w:tc>
          <w:tcPr>
            <w:tcW w:w="6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49C1EA2">
            <w:pPr>
              <w:jc w:val="center"/>
            </w:pPr>
          </w:p>
        </w:tc>
        <w:tc>
          <w:tcPr>
            <w:tcW w:w="51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47AA746">
            <w:pPr>
              <w:jc w:val="center"/>
            </w:pPr>
          </w:p>
        </w:tc>
        <w:tc>
          <w:tcPr>
            <w:tcW w:w="60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03C48F3">
            <w:pPr>
              <w:jc w:val="center"/>
            </w:pP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A1353D6">
            <w:pPr>
              <w:jc w:val="center"/>
            </w:pP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FEA4FD2">
            <w:pPr>
              <w:jc w:val="center"/>
            </w:pPr>
          </w:p>
        </w:tc>
        <w:tc>
          <w:tcPr>
            <w:tcW w:w="51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2DD2158">
            <w:pPr>
              <w:jc w:val="center"/>
            </w:pPr>
          </w:p>
        </w:tc>
      </w:tr>
    </w:tbl>
    <w:p w14:paraId="04CE1B96">
      <w:pPr>
        <w:pStyle w:val="11"/>
        <w:rPr>
          <w:rFonts w:hint="eastAsia" w:eastAsia="宋体"/>
          <w:lang w:eastAsia="zh-CN"/>
        </w:rPr>
      </w:pPr>
      <w:r>
        <w:t>二是根据期初余额和本期业务分录画T型账户。计算各账户的本期发生额合计数和期末余额，再过入总分类账户与明细分类账户发生额及余额对照表中。如下以原材料总账和明细账为例。</w:t>
      </w:r>
      <w:r>
        <w:rPr>
          <w:rFonts w:hint="eastAsia"/>
          <w:lang w:eastAsia="zh-CN"/>
        </w:rPr>
        <w:t>（</w:t>
      </w:r>
      <w:r>
        <w:rPr>
          <w:rFonts w:hint="eastAsia"/>
          <w:lang w:val="en-US" w:eastAsia="zh-CN"/>
        </w:rPr>
        <w:t>期初余额和本期发生额如下：</w:t>
      </w:r>
      <w:r>
        <w:rPr>
          <w:rFonts w:hint="eastAsia"/>
          <w:lang w:eastAsia="zh-CN"/>
        </w:rPr>
        <w:t>）</w:t>
      </w:r>
    </w:p>
    <w:p w14:paraId="09BF27ED">
      <w:pPr>
        <w:pStyle w:val="19"/>
      </w:pPr>
      <w:r>
        <w:t>表5.6原材料明细分类账的月初余额表</w:t>
      </w:r>
    </w:p>
    <w:tbl>
      <w:tblPr>
        <w:tblStyle w:val="17"/>
        <w:tblW w:w="5000" w:type="pct"/>
        <w:tblInd w:w="0" w:type="dxa"/>
        <w:tblLayout w:type="autofit"/>
        <w:tblCellMar>
          <w:top w:w="0" w:type="dxa"/>
          <w:left w:w="0" w:type="dxa"/>
          <w:bottom w:w="0" w:type="dxa"/>
          <w:right w:w="0" w:type="dxa"/>
        </w:tblCellMar>
      </w:tblPr>
      <w:tblGrid>
        <w:gridCol w:w="1763"/>
        <w:gridCol w:w="2043"/>
        <w:gridCol w:w="2672"/>
        <w:gridCol w:w="2044"/>
      </w:tblGrid>
      <w:tr w14:paraId="3C4ECB4E">
        <w:tc>
          <w:tcPr>
            <w:tcW w:w="103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DE8B03E">
            <w:pPr>
              <w:jc w:val="center"/>
              <w:rPr>
                <w:b/>
              </w:rPr>
            </w:pPr>
            <w:r>
              <w:rPr>
                <w:b/>
              </w:rPr>
              <w:t>名称</w:t>
            </w:r>
          </w:p>
        </w:tc>
        <w:tc>
          <w:tcPr>
            <w:tcW w:w="11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AFC38DB">
            <w:pPr>
              <w:jc w:val="center"/>
              <w:rPr>
                <w:b/>
              </w:rPr>
            </w:pPr>
            <w:r>
              <w:rPr>
                <w:b/>
              </w:rPr>
              <w:t>数量(吨)</w:t>
            </w:r>
          </w:p>
        </w:tc>
        <w:tc>
          <w:tcPr>
            <w:tcW w:w="156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B7A1F4D">
            <w:pPr>
              <w:jc w:val="center"/>
              <w:rPr>
                <w:b/>
              </w:rPr>
            </w:pPr>
            <w:r>
              <w:rPr>
                <w:b/>
              </w:rPr>
              <w:t>单价(元/吨)</w:t>
            </w:r>
          </w:p>
        </w:tc>
        <w:tc>
          <w:tcPr>
            <w:tcW w:w="119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6FF9AC0">
            <w:pPr>
              <w:jc w:val="center"/>
              <w:rPr>
                <w:b/>
              </w:rPr>
            </w:pPr>
            <w:r>
              <w:rPr>
                <w:b/>
              </w:rPr>
              <w:t>金额(元)</w:t>
            </w:r>
          </w:p>
        </w:tc>
      </w:tr>
      <w:tr w14:paraId="658D9E6C">
        <w:tblPrEx>
          <w:tblCellMar>
            <w:top w:w="0" w:type="dxa"/>
            <w:left w:w="0" w:type="dxa"/>
            <w:bottom w:w="0" w:type="dxa"/>
            <w:right w:w="0" w:type="dxa"/>
          </w:tblCellMar>
        </w:tblPrEx>
        <w:tc>
          <w:tcPr>
            <w:tcW w:w="103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0A48B91">
            <w:r>
              <w:t>甲材料</w:t>
            </w:r>
          </w:p>
        </w:tc>
        <w:tc>
          <w:tcPr>
            <w:tcW w:w="11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7939443">
            <w:r>
              <w:t>80</w:t>
            </w:r>
          </w:p>
        </w:tc>
        <w:tc>
          <w:tcPr>
            <w:tcW w:w="156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6486E58">
            <w:r>
              <w:t>500</w:t>
            </w:r>
          </w:p>
        </w:tc>
        <w:tc>
          <w:tcPr>
            <w:tcW w:w="119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7F81BB8">
            <w:r>
              <w:t>40000</w:t>
            </w:r>
          </w:p>
        </w:tc>
      </w:tr>
      <w:tr w14:paraId="527A2099">
        <w:tblPrEx>
          <w:tblCellMar>
            <w:top w:w="0" w:type="dxa"/>
            <w:left w:w="0" w:type="dxa"/>
            <w:bottom w:w="0" w:type="dxa"/>
            <w:right w:w="0" w:type="dxa"/>
          </w:tblCellMar>
        </w:tblPrEx>
        <w:tc>
          <w:tcPr>
            <w:tcW w:w="103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5904A06">
            <w:r>
              <w:t>乙材料</w:t>
            </w:r>
          </w:p>
        </w:tc>
        <w:tc>
          <w:tcPr>
            <w:tcW w:w="11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4168588">
            <w:r>
              <w:t>150</w:t>
            </w:r>
          </w:p>
        </w:tc>
        <w:tc>
          <w:tcPr>
            <w:tcW w:w="156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25ACEA2">
            <w:r>
              <w:t>200</w:t>
            </w:r>
          </w:p>
        </w:tc>
        <w:tc>
          <w:tcPr>
            <w:tcW w:w="119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ACBBF61">
            <w:r>
              <w:t>30000</w:t>
            </w:r>
          </w:p>
        </w:tc>
      </w:tr>
      <w:tr w14:paraId="1585D472">
        <w:tblPrEx>
          <w:tblCellMar>
            <w:top w:w="0" w:type="dxa"/>
            <w:left w:w="0" w:type="dxa"/>
            <w:bottom w:w="0" w:type="dxa"/>
            <w:right w:w="0" w:type="dxa"/>
          </w:tblCellMar>
        </w:tblPrEx>
        <w:tc>
          <w:tcPr>
            <w:tcW w:w="103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9B3945E">
            <w:r>
              <w:t>合计</w:t>
            </w:r>
          </w:p>
        </w:tc>
        <w:tc>
          <w:tcPr>
            <w:tcW w:w="11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EF156D4"/>
        </w:tc>
        <w:tc>
          <w:tcPr>
            <w:tcW w:w="1567"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FC3B8CF"/>
        </w:tc>
        <w:tc>
          <w:tcPr>
            <w:tcW w:w="119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6ABBA31">
            <w:r>
              <w:t>70000</w:t>
            </w:r>
          </w:p>
        </w:tc>
      </w:tr>
    </w:tbl>
    <w:p w14:paraId="1AEFDFD7">
      <w:pPr>
        <w:keepNext w:val="0"/>
        <w:keepLines w:val="0"/>
        <w:pageBreakBefore w:val="0"/>
        <w:numPr>
          <w:ilvl w:val="0"/>
          <w:numId w:val="0"/>
        </w:numPr>
        <w:kinsoku/>
        <w:wordWrap/>
        <w:overflowPunct/>
        <w:topLinePunct w:val="0"/>
        <w:autoSpaceDE/>
        <w:autoSpaceDN/>
        <w:bidi w:val="0"/>
        <w:adjustRightInd w:val="0"/>
        <w:snapToGrid w:val="0"/>
        <w:spacing w:beforeAutospacing="0" w:afterAutospacing="0"/>
        <w:ind w:leftChars="0"/>
        <w:jc w:val="left"/>
        <w:textAlignment w:val="auto"/>
        <w:rPr>
          <w:rFonts w:hint="eastAsia"/>
          <w:lang w:val="en-US" w:eastAsia="zh-CN"/>
        </w:rPr>
      </w:pPr>
    </w:p>
    <w:p w14:paraId="2A35711F">
      <w:pPr>
        <w:pStyle w:val="11"/>
        <w:numPr>
          <w:ilvl w:val="0"/>
          <w:numId w:val="19"/>
        </w:numPr>
        <w:ind w:left="0" w:leftChars="0" w:firstLine="480" w:firstLineChars="0"/>
        <w:rPr>
          <w:b w:val="0"/>
        </w:rPr>
      </w:pPr>
      <w:r>
        <w:t>8日,从向阳工厂购进甲材料100吨,单价500元/吨,计50000元,增值税进项税额为6500元,材料已验收入库,货款未付。</w:t>
      </w:r>
    </w:p>
    <w:p w14:paraId="6A44FAA1">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hint="eastAsia" w:asciiTheme="minorEastAsia" w:hAnsiTheme="minorEastAsia" w:eastAsiaTheme="minorEastAsia" w:cstheme="minorEastAsia"/>
          <w:sz w:val="24"/>
          <w:szCs w:val="32"/>
          <w:lang w:val="en-US" w:eastAsia="zh-CN"/>
        </w:rPr>
      </w:pPr>
      <w:r>
        <w:rPr>
          <w:rFonts w:hint="eastAsia" w:asciiTheme="minorEastAsia" w:hAnsiTheme="minorEastAsia" w:eastAsiaTheme="minorEastAsia" w:cstheme="minorEastAsia"/>
          <w:sz w:val="24"/>
          <w:szCs w:val="32"/>
          <w:lang w:val="en-US" w:eastAsia="zh-CN"/>
        </w:rPr>
        <w:t>借：原材料-甲材料</w:t>
      </w:r>
      <w:r>
        <w:rPr>
          <w:rFonts w:hint="eastAsia" w:asciiTheme="minorEastAsia" w:hAnsiTheme="minorEastAsia" w:cstheme="minorEastAsia"/>
          <w:sz w:val="24"/>
          <w:szCs w:val="32"/>
          <w:lang w:val="en-US" w:eastAsia="zh-CN"/>
        </w:rPr>
        <w:t xml:space="preserve">                 </w:t>
      </w:r>
      <w:r>
        <w:rPr>
          <w:rFonts w:hint="eastAsia" w:asciiTheme="minorEastAsia" w:hAnsiTheme="minorEastAsia" w:eastAsiaTheme="minorEastAsia" w:cstheme="minorEastAsia"/>
          <w:sz w:val="24"/>
          <w:szCs w:val="32"/>
          <w:lang w:val="en-US" w:eastAsia="zh-CN"/>
        </w:rPr>
        <w:t>50000</w:t>
      </w:r>
    </w:p>
    <w:p w14:paraId="5E63F8C5">
      <w:pPr>
        <w:pStyle w:val="11"/>
      </w:pPr>
      <w:r>
        <w:t>应交税费-应交增值税（进项税额）6500</w:t>
      </w:r>
    </w:p>
    <w:p w14:paraId="429E4FE3">
      <w:pPr>
        <w:keepNext w:val="0"/>
        <w:keepLines w:val="0"/>
        <w:pageBreakBefore w:val="0"/>
        <w:widowControl w:val="0"/>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eastAsiaTheme="minorEastAsia" w:cstheme="minorEastAsia"/>
          <w:sz w:val="24"/>
          <w:szCs w:val="32"/>
          <w:lang w:val="en-US" w:eastAsia="zh-CN"/>
        </w:rPr>
      </w:pPr>
      <w:r>
        <w:rPr>
          <w:rFonts w:hint="eastAsia" w:asciiTheme="minorEastAsia" w:hAnsiTheme="minorEastAsia" w:eastAsiaTheme="minorEastAsia" w:cstheme="minorEastAsia"/>
          <w:sz w:val="24"/>
          <w:szCs w:val="32"/>
          <w:lang w:val="en-US" w:eastAsia="zh-CN"/>
        </w:rPr>
        <w:t>贷：应付账款-向阳工厂</w:t>
      </w:r>
      <w:r>
        <w:rPr>
          <w:rFonts w:hint="eastAsia" w:asciiTheme="minorEastAsia" w:hAnsiTheme="minorEastAsia" w:cstheme="minorEastAsia"/>
          <w:sz w:val="24"/>
          <w:szCs w:val="32"/>
          <w:lang w:val="en-US" w:eastAsia="zh-CN"/>
        </w:rPr>
        <w:t xml:space="preserve">               </w:t>
      </w:r>
      <w:r>
        <w:rPr>
          <w:rFonts w:hint="eastAsia" w:asciiTheme="minorEastAsia" w:hAnsiTheme="minorEastAsia" w:eastAsiaTheme="minorEastAsia" w:cstheme="minorEastAsia"/>
          <w:sz w:val="24"/>
          <w:szCs w:val="32"/>
          <w:lang w:val="en-US" w:eastAsia="zh-CN"/>
        </w:rPr>
        <w:t>56500</w:t>
      </w:r>
    </w:p>
    <w:p w14:paraId="70616B78">
      <w:pPr>
        <w:pStyle w:val="11"/>
        <w:numPr>
          <w:ilvl w:val="0"/>
          <w:numId w:val="19"/>
        </w:numPr>
        <w:ind w:left="0" w:leftChars="0" w:firstLine="480" w:firstLineChars="0"/>
        <w:rPr>
          <w:b w:val="0"/>
        </w:rPr>
      </w:pPr>
      <w:r>
        <w:t>10日,从新乡工厂购进乙材料120吨,单价200元/吨,计24000元,增值税进项税额为3120元,材料已验收入库,货款未付。</w:t>
      </w:r>
    </w:p>
    <w:p w14:paraId="03F9669F">
      <w:pPr>
        <w:pStyle w:val="11"/>
        <w:rPr>
          <w:rFonts w:hint="default"/>
          <w:lang w:val="en-US" w:eastAsia="zh-CN"/>
        </w:rPr>
      </w:pPr>
      <w:r>
        <w:t>借：原材料-乙材料</w:t>
      </w:r>
      <w:r>
        <w:rPr>
          <w:rFonts w:hint="eastAsia"/>
          <w:lang w:val="en-US" w:eastAsia="zh-CN"/>
        </w:rPr>
        <w:t xml:space="preserve">         </w:t>
      </w:r>
      <w:r>
        <w:t>24000</w:t>
      </w:r>
      <w:bookmarkStart w:id="0" w:name="_GoBack"/>
      <w:bookmarkEnd w:id="0"/>
    </w:p>
    <w:p w14:paraId="26CC8C98">
      <w:pPr>
        <w:pStyle w:val="11"/>
      </w:pPr>
      <w:r>
        <w:t>应交税费-应交增值税（进项税额）3120</w:t>
      </w:r>
    </w:p>
    <w:p w14:paraId="52617747">
      <w:pPr>
        <w:pStyle w:val="11"/>
        <w:rPr>
          <w:rFonts w:hint="default"/>
          <w:lang w:val="en-US" w:eastAsia="zh-CN"/>
        </w:rPr>
      </w:pPr>
      <w:r>
        <w:rPr>
          <w:rFonts w:hint="eastAsia"/>
        </w:rPr>
        <w:t>贷：应付账款-新乡工厂</w:t>
      </w:r>
      <w:r>
        <w:rPr>
          <w:rFonts w:hint="eastAsia"/>
          <w:lang w:val="en-US" w:eastAsia="zh-CN"/>
        </w:rPr>
        <w:t xml:space="preserve">                </w:t>
      </w:r>
      <w:r>
        <w:rPr>
          <w:rFonts w:hint="eastAsia"/>
        </w:rPr>
        <w:t>27120</w:t>
      </w:r>
    </w:p>
    <w:p w14:paraId="1EB5C7A2">
      <w:pPr>
        <w:pStyle w:val="11"/>
        <w:numPr>
          <w:ilvl w:val="0"/>
          <w:numId w:val="19"/>
        </w:numPr>
        <w:ind w:left="0" w:leftChars="0" w:firstLine="480" w:firstLineChars="0"/>
        <w:rPr>
          <w:b w:val="0"/>
        </w:rPr>
      </w:pPr>
      <w:r>
        <w:t>16日,仓库发出甲材料150吨,单价500元/吨,计75000元;发出乙材料200吨,单价200元/吨,计40000元。上述材料直接用于制造产品。</w:t>
      </w:r>
    </w:p>
    <w:p w14:paraId="3FEAE7F4">
      <w:pPr>
        <w:pStyle w:val="11"/>
      </w:pPr>
      <w:r>
        <w:t>借：生产成本</w:t>
      </w:r>
      <w:r>
        <w:rPr>
          <w:rFonts w:hint="eastAsia"/>
          <w:lang w:val="en-US" w:eastAsia="zh-CN"/>
        </w:rPr>
        <w:t xml:space="preserve">    </w:t>
      </w:r>
      <w:r>
        <w:t>115000</w:t>
      </w:r>
    </w:p>
    <w:p w14:paraId="6049DF9B">
      <w:pPr>
        <w:pStyle w:val="11"/>
      </w:pPr>
      <w:r>
        <w:t>贷：原材料-甲材料</w:t>
      </w:r>
      <w:r>
        <w:rPr>
          <w:rFonts w:hint="eastAsia"/>
          <w:lang w:val="en-US" w:eastAsia="zh-CN"/>
        </w:rPr>
        <w:t xml:space="preserve">       </w:t>
      </w:r>
      <w:r>
        <w:t>75000</w:t>
      </w:r>
    </w:p>
    <w:p w14:paraId="3DE27226">
      <w:pPr>
        <w:pStyle w:val="11"/>
        <w:ind w:firstLine="960" w:firstLineChars="400"/>
        <w:rPr>
          <w:rFonts w:hint="eastAsia" w:eastAsia="宋体"/>
          <w:lang w:eastAsia="zh-CN"/>
        </w:rPr>
      </w:pPr>
      <w:r>
        <w:t>原材料-乙材料</w:t>
      </w:r>
      <w:r>
        <w:rPr>
          <w:rFonts w:hint="eastAsia"/>
          <w:lang w:val="en-US" w:eastAsia="zh-CN"/>
        </w:rPr>
        <w:t xml:space="preserve">       </w:t>
      </w:r>
      <w:r>
        <w:t>40000</w:t>
      </w:r>
    </w:p>
    <w:p w14:paraId="0EB851B8">
      <w:pPr>
        <w:pStyle w:val="11"/>
        <w:rPr>
          <w:rFonts w:hint="eastAsia" w:ascii="黑体" w:hAnsi="黑体" w:eastAsia="黑体" w:cs="黑体"/>
          <w:color w:val="002060"/>
          <w:lang w:eastAsia="zh-CN"/>
        </w:rPr>
      </w:pPr>
      <w:r>
        <w:rPr>
          <w:rFonts w:hint="eastAsia" w:ascii="黑体" w:hAnsi="黑体" w:eastAsia="黑体" w:cs="黑体"/>
          <w:color w:val="002060"/>
        </w:rPr>
        <w:t>在草稿纸上画出各个账户，并将各账户的期初余额，本期发生额过入，计算本期累计借方或贷方发生额及期末余额。</w:t>
      </w:r>
    </w:p>
    <w:p w14:paraId="226B4B68">
      <w:pPr>
        <w:keepNext w:val="0"/>
        <w:keepLines w:val="0"/>
        <w:pageBreakBefore w:val="0"/>
        <w:numPr>
          <w:ilvl w:val="0"/>
          <w:numId w:val="0"/>
        </w:numPr>
        <w:kinsoku/>
        <w:wordWrap/>
        <w:overflowPunct/>
        <w:topLinePunct w:val="0"/>
        <w:autoSpaceDE/>
        <w:autoSpaceDN/>
        <w:bidi w:val="0"/>
        <w:adjustRightInd w:val="0"/>
        <w:snapToGrid w:val="0"/>
        <w:spacing w:beforeAutospacing="0" w:afterAutospacing="0" w:line="240" w:lineRule="auto"/>
        <w:ind w:leftChars="0"/>
        <w:jc w:val="left"/>
        <w:textAlignment w:val="auto"/>
      </w:pPr>
      <w:r>
        <w:drawing>
          <wp:inline distT="0" distB="0" distL="114300" distR="114300">
            <wp:extent cx="2492375" cy="1602105"/>
            <wp:effectExtent l="0" t="0" r="9525" b="10795"/>
            <wp:docPr id="3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8"/>
                    <pic:cNvPicPr>
                      <a:picLocks noChangeAspect="1"/>
                    </pic:cNvPicPr>
                  </pic:nvPicPr>
                  <pic:blipFill>
                    <a:blip r:embed="rId17"/>
                    <a:stretch>
                      <a:fillRect/>
                    </a:stretch>
                  </pic:blipFill>
                  <pic:spPr>
                    <a:xfrm>
                      <a:off x="0" y="0"/>
                      <a:ext cx="2492375" cy="1602105"/>
                    </a:xfrm>
                    <a:prstGeom prst="rect">
                      <a:avLst/>
                    </a:prstGeom>
                    <a:noFill/>
                    <a:ln>
                      <a:noFill/>
                    </a:ln>
                  </pic:spPr>
                </pic:pic>
              </a:graphicData>
            </a:graphic>
          </wp:inline>
        </w:drawing>
      </w:r>
      <w:r>
        <w:drawing>
          <wp:inline distT="0" distB="0" distL="114300" distR="114300">
            <wp:extent cx="2663825" cy="1616075"/>
            <wp:effectExtent l="0" t="0" r="3175" b="9525"/>
            <wp:docPr id="3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9"/>
                    <pic:cNvPicPr>
                      <a:picLocks noChangeAspect="1"/>
                    </pic:cNvPicPr>
                  </pic:nvPicPr>
                  <pic:blipFill>
                    <a:blip r:embed="rId18"/>
                    <a:stretch>
                      <a:fillRect/>
                    </a:stretch>
                  </pic:blipFill>
                  <pic:spPr>
                    <a:xfrm>
                      <a:off x="0" y="0"/>
                      <a:ext cx="2663825" cy="1616075"/>
                    </a:xfrm>
                    <a:prstGeom prst="rect">
                      <a:avLst/>
                    </a:prstGeom>
                    <a:noFill/>
                    <a:ln>
                      <a:noFill/>
                    </a:ln>
                  </pic:spPr>
                </pic:pic>
              </a:graphicData>
            </a:graphic>
          </wp:inline>
        </w:drawing>
      </w:r>
    </w:p>
    <w:p w14:paraId="2ACFA82F">
      <w:pPr>
        <w:keepNext w:val="0"/>
        <w:keepLines w:val="0"/>
        <w:pageBreakBefore w:val="0"/>
        <w:numPr>
          <w:ilvl w:val="0"/>
          <w:numId w:val="0"/>
        </w:numPr>
        <w:kinsoku/>
        <w:wordWrap/>
        <w:overflowPunct/>
        <w:topLinePunct w:val="0"/>
        <w:autoSpaceDE/>
        <w:autoSpaceDN/>
        <w:bidi w:val="0"/>
        <w:adjustRightInd w:val="0"/>
        <w:snapToGrid w:val="0"/>
        <w:spacing w:beforeAutospacing="0" w:afterAutospacing="0" w:line="240" w:lineRule="auto"/>
        <w:ind w:leftChars="0"/>
        <w:jc w:val="left"/>
        <w:textAlignment w:val="auto"/>
      </w:pPr>
      <w:r>
        <w:drawing>
          <wp:inline distT="0" distB="0" distL="114300" distR="114300">
            <wp:extent cx="2471420" cy="1575435"/>
            <wp:effectExtent l="0" t="0" r="5080" b="12065"/>
            <wp:docPr id="35"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1"/>
                    <pic:cNvPicPr>
                      <a:picLocks noChangeAspect="1"/>
                    </pic:cNvPicPr>
                  </pic:nvPicPr>
                  <pic:blipFill>
                    <a:blip r:embed="rId19"/>
                    <a:stretch>
                      <a:fillRect/>
                    </a:stretch>
                  </pic:blipFill>
                  <pic:spPr>
                    <a:xfrm>
                      <a:off x="0" y="0"/>
                      <a:ext cx="2471420" cy="1575435"/>
                    </a:xfrm>
                    <a:prstGeom prst="rect">
                      <a:avLst/>
                    </a:prstGeom>
                    <a:noFill/>
                    <a:ln>
                      <a:noFill/>
                    </a:ln>
                  </pic:spPr>
                </pic:pic>
              </a:graphicData>
            </a:graphic>
          </wp:inline>
        </w:drawing>
      </w:r>
    </w:p>
    <w:p w14:paraId="46F921AC">
      <w:pPr>
        <w:pStyle w:val="19"/>
      </w:pPr>
      <w:r>
        <w:t>表5.14总分类账户与明细分类账户发生额及余额对照表1</w:t>
      </w:r>
    </w:p>
    <w:tbl>
      <w:tblPr>
        <w:tblStyle w:val="17"/>
        <w:tblW w:w="5000" w:type="pct"/>
        <w:tblInd w:w="0" w:type="dxa"/>
        <w:tblLayout w:type="autofit"/>
        <w:tblCellMar>
          <w:top w:w="0" w:type="dxa"/>
          <w:left w:w="0" w:type="dxa"/>
          <w:bottom w:w="0" w:type="dxa"/>
          <w:right w:w="0" w:type="dxa"/>
        </w:tblCellMar>
      </w:tblPr>
      <w:tblGrid>
        <w:gridCol w:w="2309"/>
        <w:gridCol w:w="1037"/>
        <w:gridCol w:w="885"/>
        <w:gridCol w:w="1038"/>
        <w:gridCol w:w="1185"/>
        <w:gridCol w:w="1185"/>
        <w:gridCol w:w="883"/>
      </w:tblGrid>
      <w:tr w14:paraId="7E262266">
        <w:tblPrEx>
          <w:tblCellMar>
            <w:top w:w="0" w:type="dxa"/>
            <w:left w:w="0" w:type="dxa"/>
            <w:bottom w:w="0" w:type="dxa"/>
            <w:right w:w="0" w:type="dxa"/>
          </w:tblCellMar>
        </w:tblPrEx>
        <w:tc>
          <w:tcPr>
            <w:tcW w:w="1354" w:type="pct"/>
            <w:vMerge w:val="restar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AB76818">
            <w:pPr>
              <w:jc w:val="center"/>
              <w:rPr>
                <w:b/>
              </w:rPr>
            </w:pPr>
            <w:r>
              <w:rPr>
                <w:b/>
              </w:rPr>
              <w:t>账户名称</w:t>
            </w:r>
          </w:p>
        </w:tc>
        <w:tc>
          <w:tcPr>
            <w:tcW w:w="1127"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6DD479C">
            <w:pPr>
              <w:jc w:val="center"/>
              <w:rPr>
                <w:b/>
              </w:rPr>
            </w:pPr>
            <w:r>
              <w:rPr>
                <w:b/>
              </w:rPr>
              <w:t>月初余额</w:t>
            </w:r>
          </w:p>
        </w:tc>
        <w:tc>
          <w:tcPr>
            <w:tcW w:w="1304"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6EE83C4">
            <w:pPr>
              <w:jc w:val="center"/>
              <w:rPr>
                <w:b/>
              </w:rPr>
            </w:pPr>
            <w:r>
              <w:rPr>
                <w:b/>
              </w:rPr>
              <w:t>本月发生额</w:t>
            </w:r>
          </w:p>
        </w:tc>
        <w:tc>
          <w:tcPr>
            <w:tcW w:w="1213" w:type="pct"/>
            <w:gridSpan w:val="2"/>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CF940CC">
            <w:pPr>
              <w:jc w:val="center"/>
              <w:rPr>
                <w:b/>
              </w:rPr>
            </w:pPr>
            <w:r>
              <w:rPr>
                <w:b/>
              </w:rPr>
              <w:t>月末余额</w:t>
            </w:r>
          </w:p>
        </w:tc>
      </w:tr>
      <w:tr w14:paraId="0AA7E380">
        <w:tblPrEx>
          <w:tblCellMar>
            <w:top w:w="0" w:type="dxa"/>
            <w:left w:w="0" w:type="dxa"/>
            <w:bottom w:w="0" w:type="dxa"/>
            <w:right w:w="0" w:type="dxa"/>
          </w:tblCellMar>
        </w:tblPrEx>
        <w:tc>
          <w:tcPr>
            <w:tcW w:w="1354" w:type="pct"/>
            <w:vMerge w:val="continue"/>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2AFE8BD">
            <w:pPr>
              <w:jc w:val="center"/>
              <w:rPr>
                <w:b/>
              </w:rPr>
            </w:pPr>
          </w:p>
        </w:tc>
        <w:tc>
          <w:tcPr>
            <w:tcW w:w="6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63F546A">
            <w:pPr>
              <w:jc w:val="center"/>
              <w:rPr>
                <w:b/>
              </w:rPr>
            </w:pPr>
            <w:r>
              <w:rPr>
                <w:b/>
              </w:rPr>
              <w:t>借方</w:t>
            </w:r>
          </w:p>
        </w:tc>
        <w:tc>
          <w:tcPr>
            <w:tcW w:w="51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443198F">
            <w:pPr>
              <w:jc w:val="center"/>
              <w:rPr>
                <w:b/>
              </w:rPr>
            </w:pPr>
            <w:r>
              <w:rPr>
                <w:b/>
              </w:rPr>
              <w:t>贷方</w:t>
            </w:r>
          </w:p>
        </w:tc>
        <w:tc>
          <w:tcPr>
            <w:tcW w:w="60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CFCBD4D">
            <w:pPr>
              <w:jc w:val="center"/>
              <w:rPr>
                <w:b/>
              </w:rPr>
            </w:pPr>
            <w:r>
              <w:rPr>
                <w:b/>
              </w:rPr>
              <w:t>借方</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C1699D0">
            <w:pPr>
              <w:jc w:val="center"/>
              <w:rPr>
                <w:b/>
              </w:rPr>
            </w:pPr>
            <w:r>
              <w:rPr>
                <w:b/>
              </w:rPr>
              <w:t>贷方</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06A11D8">
            <w:pPr>
              <w:jc w:val="center"/>
              <w:rPr>
                <w:b/>
              </w:rPr>
            </w:pPr>
            <w:r>
              <w:rPr>
                <w:b/>
              </w:rPr>
              <w:t>借方</w:t>
            </w:r>
          </w:p>
        </w:tc>
        <w:tc>
          <w:tcPr>
            <w:tcW w:w="51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2BC364D">
            <w:pPr>
              <w:jc w:val="center"/>
              <w:rPr>
                <w:b/>
              </w:rPr>
            </w:pPr>
            <w:r>
              <w:rPr>
                <w:b/>
              </w:rPr>
              <w:t>贷方</w:t>
            </w:r>
          </w:p>
        </w:tc>
      </w:tr>
      <w:tr w14:paraId="1ECB28F7">
        <w:tblPrEx>
          <w:tblCellMar>
            <w:top w:w="0" w:type="dxa"/>
            <w:left w:w="0" w:type="dxa"/>
            <w:bottom w:w="0" w:type="dxa"/>
            <w:right w:w="0" w:type="dxa"/>
          </w:tblCellMar>
        </w:tblPrEx>
        <w:tc>
          <w:tcPr>
            <w:tcW w:w="13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F640201">
            <w:pPr>
              <w:jc w:val="center"/>
            </w:pPr>
            <w:r>
              <w:t>原材料</w:t>
            </w:r>
          </w:p>
        </w:tc>
        <w:tc>
          <w:tcPr>
            <w:tcW w:w="6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9B54D39">
            <w:pPr>
              <w:jc w:val="center"/>
            </w:pPr>
            <w:r>
              <w:t>70000</w:t>
            </w:r>
          </w:p>
        </w:tc>
        <w:tc>
          <w:tcPr>
            <w:tcW w:w="51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671E022">
            <w:pPr>
              <w:jc w:val="center"/>
            </w:pPr>
          </w:p>
        </w:tc>
        <w:tc>
          <w:tcPr>
            <w:tcW w:w="60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CBDAA1E">
            <w:pPr>
              <w:jc w:val="center"/>
            </w:pPr>
            <w:r>
              <w:t>74000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198E11B">
            <w:pPr>
              <w:jc w:val="center"/>
            </w:pPr>
            <w:r>
              <w:t>115000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E86FBA6">
            <w:pPr>
              <w:jc w:val="center"/>
            </w:pPr>
            <w:r>
              <w:t>29000</w:t>
            </w:r>
          </w:p>
        </w:tc>
        <w:tc>
          <w:tcPr>
            <w:tcW w:w="51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1AA5796">
            <w:pPr>
              <w:jc w:val="center"/>
            </w:pPr>
          </w:p>
        </w:tc>
      </w:tr>
      <w:tr w14:paraId="55E54E44">
        <w:tblPrEx>
          <w:tblCellMar>
            <w:top w:w="0" w:type="dxa"/>
            <w:left w:w="0" w:type="dxa"/>
            <w:bottom w:w="0" w:type="dxa"/>
            <w:right w:w="0" w:type="dxa"/>
          </w:tblCellMar>
        </w:tblPrEx>
        <w:tc>
          <w:tcPr>
            <w:tcW w:w="13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75D8CFF">
            <w:pPr>
              <w:jc w:val="center"/>
            </w:pPr>
            <w:r>
              <w:t>原材料—甲材料</w:t>
            </w:r>
          </w:p>
        </w:tc>
        <w:tc>
          <w:tcPr>
            <w:tcW w:w="6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41ED965">
            <w:pPr>
              <w:jc w:val="center"/>
            </w:pPr>
            <w:r>
              <w:t>40000</w:t>
            </w:r>
          </w:p>
        </w:tc>
        <w:tc>
          <w:tcPr>
            <w:tcW w:w="51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8D16C56">
            <w:pPr>
              <w:jc w:val="center"/>
            </w:pPr>
          </w:p>
        </w:tc>
        <w:tc>
          <w:tcPr>
            <w:tcW w:w="60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6BB1D30">
            <w:pPr>
              <w:jc w:val="center"/>
            </w:pPr>
            <w:r>
              <w:t>50000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10E2202">
            <w:pPr>
              <w:jc w:val="center"/>
            </w:pPr>
            <w:r>
              <w:t>75000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5A63412">
            <w:pPr>
              <w:jc w:val="center"/>
            </w:pPr>
            <w:r>
              <w:t>15000</w:t>
            </w:r>
          </w:p>
        </w:tc>
        <w:tc>
          <w:tcPr>
            <w:tcW w:w="51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8DFF03F">
            <w:pPr>
              <w:jc w:val="center"/>
            </w:pPr>
          </w:p>
        </w:tc>
      </w:tr>
      <w:tr w14:paraId="21983F98">
        <w:tblPrEx>
          <w:tblCellMar>
            <w:top w:w="0" w:type="dxa"/>
            <w:left w:w="0" w:type="dxa"/>
            <w:bottom w:w="0" w:type="dxa"/>
            <w:right w:w="0" w:type="dxa"/>
          </w:tblCellMar>
        </w:tblPrEx>
        <w:tc>
          <w:tcPr>
            <w:tcW w:w="13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3ECD60C">
            <w:pPr>
              <w:jc w:val="center"/>
            </w:pPr>
            <w:r>
              <w:t>原材料—乙材料</w:t>
            </w:r>
          </w:p>
        </w:tc>
        <w:tc>
          <w:tcPr>
            <w:tcW w:w="6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4B63E0E">
            <w:pPr>
              <w:jc w:val="center"/>
            </w:pPr>
            <w:r>
              <w:t>30000</w:t>
            </w:r>
          </w:p>
        </w:tc>
        <w:tc>
          <w:tcPr>
            <w:tcW w:w="51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671E92C">
            <w:pPr>
              <w:jc w:val="center"/>
            </w:pPr>
          </w:p>
        </w:tc>
        <w:tc>
          <w:tcPr>
            <w:tcW w:w="60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ECA05A6">
            <w:pPr>
              <w:jc w:val="center"/>
            </w:pPr>
            <w:r>
              <w:t>24000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52FFDF5">
            <w:pPr>
              <w:jc w:val="center"/>
            </w:pPr>
            <w:r>
              <w:t>40000</w:t>
            </w: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390DBF4">
            <w:pPr>
              <w:jc w:val="center"/>
            </w:pPr>
            <w:r>
              <w:t>14000</w:t>
            </w:r>
          </w:p>
        </w:tc>
        <w:tc>
          <w:tcPr>
            <w:tcW w:w="51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9BE84B6">
            <w:pPr>
              <w:jc w:val="center"/>
            </w:pPr>
          </w:p>
        </w:tc>
      </w:tr>
      <w:tr w14:paraId="28A29509">
        <w:tblPrEx>
          <w:tblCellMar>
            <w:top w:w="0" w:type="dxa"/>
            <w:left w:w="0" w:type="dxa"/>
            <w:bottom w:w="0" w:type="dxa"/>
            <w:right w:w="0" w:type="dxa"/>
          </w:tblCellMar>
        </w:tblPrEx>
        <w:tc>
          <w:tcPr>
            <w:tcW w:w="135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D85CDFA">
            <w:pPr>
              <w:jc w:val="center"/>
            </w:pPr>
          </w:p>
        </w:tc>
        <w:tc>
          <w:tcPr>
            <w:tcW w:w="60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5337634">
            <w:pPr>
              <w:jc w:val="center"/>
            </w:pPr>
          </w:p>
        </w:tc>
        <w:tc>
          <w:tcPr>
            <w:tcW w:w="51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3174BC8">
            <w:pPr>
              <w:jc w:val="center"/>
            </w:pPr>
          </w:p>
        </w:tc>
        <w:tc>
          <w:tcPr>
            <w:tcW w:w="609"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E132124">
            <w:pPr>
              <w:jc w:val="center"/>
            </w:pP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EB92C2D">
            <w:pPr>
              <w:jc w:val="center"/>
            </w:pPr>
          </w:p>
        </w:tc>
        <w:tc>
          <w:tcPr>
            <w:tcW w:w="6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43658E8">
            <w:pPr>
              <w:jc w:val="center"/>
            </w:pPr>
          </w:p>
        </w:tc>
        <w:tc>
          <w:tcPr>
            <w:tcW w:w="51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17002E3">
            <w:pPr>
              <w:jc w:val="center"/>
            </w:pPr>
          </w:p>
        </w:tc>
      </w:tr>
    </w:tbl>
    <w:p w14:paraId="79FC2BDC">
      <w:r>
        <w:br w:type="page"/>
      </w:r>
    </w:p>
    <w:p w14:paraId="207A9A7F">
      <w:pPr>
        <w:pStyle w:val="2"/>
        <w:jc w:val="center"/>
      </w:pPr>
      <w:r>
        <w:t>项目五</w:t>
      </w:r>
      <w:r>
        <w:rPr>
          <w:rFonts w:hint="eastAsia"/>
          <w:lang w:val="en-US" w:eastAsia="zh-CN"/>
        </w:rPr>
        <w:t xml:space="preserve">   </w:t>
      </w:r>
      <w:r>
        <w:t>各类账表的编制</w:t>
      </w:r>
    </w:p>
    <w:p w14:paraId="17D5881D">
      <w:pPr>
        <w:pStyle w:val="3"/>
        <w:jc w:val="center"/>
      </w:pPr>
      <w:r>
        <w:t>任务四</w:t>
      </w:r>
      <w:r>
        <w:rPr>
          <w:rFonts w:hint="eastAsia"/>
          <w:lang w:val="en-US" w:eastAsia="zh-CN"/>
        </w:rPr>
        <w:t xml:space="preserve">   </w:t>
      </w:r>
      <w:r>
        <w:t>银行存款余额调节表编制训练</w:t>
      </w:r>
      <w:r>
        <mc:AlternateContent>
          <mc:Choice Requires="wps">
            <w:drawing>
              <wp:anchor distT="0" distB="0" distL="114300" distR="114300" simplePos="0" relativeHeight="251663360" behindDoc="1" locked="0" layoutInCell="1" allowOverlap="1">
                <wp:simplePos x="0" y="0"/>
                <wp:positionH relativeFrom="page">
                  <wp:posOffset>1096010</wp:posOffset>
                </wp:positionH>
                <wp:positionV relativeFrom="paragraph">
                  <wp:posOffset>237490</wp:posOffset>
                </wp:positionV>
                <wp:extent cx="5435600" cy="1998980"/>
                <wp:effectExtent l="4445" t="4445" r="8255" b="15875"/>
                <wp:wrapTopAndBottom/>
                <wp:docPr id="36" name="文本框 12"/>
                <wp:cNvGraphicFramePr/>
                <a:graphic xmlns:a="http://schemas.openxmlformats.org/drawingml/2006/main">
                  <a:graphicData uri="http://schemas.microsoft.com/office/word/2010/wordprocessingShape">
                    <wps:wsp>
                      <wps:cNvSpPr txBox="1"/>
                      <wps:spPr>
                        <a:xfrm>
                          <a:off x="0" y="0"/>
                          <a:ext cx="5435600" cy="1998980"/>
                        </a:xfrm>
                        <a:prstGeom prst="rect">
                          <a:avLst/>
                        </a:prstGeom>
                        <a:noFill/>
                        <a:ln w="6096" cap="flat" cmpd="sng">
                          <a:solidFill>
                            <a:srgbClr val="000000"/>
                          </a:solidFill>
                          <a:prstDash val="solid"/>
                          <a:miter/>
                          <a:headEnd type="none" w="med" len="med"/>
                          <a:tailEnd type="none" w="med" len="med"/>
                        </a:ln>
                      </wps:spPr>
                      <wps:txbx>
                        <w:txbxContent>
                          <w:p w14:paraId="753BAB96">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教学目的：</w:t>
                            </w:r>
                            <w:r>
                              <w:rPr>
                                <w:rFonts w:hint="eastAsia" w:ascii="黑体" w:hAnsi="黑体" w:eastAsia="黑体" w:cs="黑体"/>
                                <w:b w:val="0"/>
                                <w:bCs/>
                                <w:sz w:val="24"/>
                                <w:szCs w:val="24"/>
                                <w:lang w:val="zh-CN" w:eastAsia="zh-CN" w:bidi="zh-CN"/>
                              </w:rPr>
                              <w:t>掌握</w:t>
                            </w:r>
                            <w:r>
                              <w:rPr>
                                <w:rFonts w:hint="eastAsia" w:ascii="黑体" w:hAnsi="黑体" w:eastAsia="黑体" w:cs="黑体"/>
                                <w:b w:val="0"/>
                                <w:bCs/>
                                <w:sz w:val="24"/>
                                <w:szCs w:val="24"/>
                                <w:lang w:val="en-US" w:eastAsia="zh-CN" w:bidi="zh-CN"/>
                              </w:rPr>
                              <w:t>银行存款清查概念、未达账项的原理及银行存款余额调节表编制的实操</w:t>
                            </w:r>
                            <w:r>
                              <w:rPr>
                                <w:rFonts w:hint="eastAsia" w:ascii="黑体" w:hAnsi="黑体" w:eastAsia="黑体" w:cs="黑体"/>
                                <w:b w:val="0"/>
                                <w:bCs/>
                                <w:sz w:val="24"/>
                                <w:szCs w:val="24"/>
                                <w:lang w:val="zh-CN" w:eastAsia="zh-CN" w:bidi="zh-CN"/>
                              </w:rPr>
                              <w:t>。</w:t>
                            </w:r>
                          </w:p>
                          <w:p w14:paraId="3B12322A">
                            <w:pPr>
                              <w:widowControl w:val="0"/>
                              <w:autoSpaceDE w:val="0"/>
                              <w:autoSpaceDN w:val="0"/>
                              <w:spacing w:before="0" w:after="0" w:line="360" w:lineRule="auto"/>
                              <w:ind w:left="80" w:right="74"/>
                              <w:jc w:val="left"/>
                              <w:rPr>
                                <w:rFonts w:hint="default" w:ascii="黑体" w:hAnsi="黑体" w:eastAsia="黑体" w:cs="黑体"/>
                                <w:b w:val="0"/>
                                <w:bCs/>
                                <w:sz w:val="24"/>
                                <w:szCs w:val="24"/>
                                <w:lang w:val="en-US" w:eastAsia="zh-CN" w:bidi="zh-CN"/>
                              </w:rPr>
                            </w:pPr>
                            <w:r>
                              <w:rPr>
                                <w:rFonts w:hint="eastAsia" w:ascii="黑体" w:hAnsi="黑体" w:eastAsia="黑体" w:cs="黑体"/>
                                <w:b/>
                                <w:sz w:val="24"/>
                                <w:szCs w:val="24"/>
                                <w:lang w:val="zh-CN" w:eastAsia="zh-CN" w:bidi="zh-CN"/>
                              </w:rPr>
                              <w:t>教学重点：</w:t>
                            </w:r>
                            <w:r>
                              <w:rPr>
                                <w:rFonts w:hint="eastAsia" w:ascii="黑体" w:hAnsi="黑体" w:eastAsia="黑体" w:cs="黑体"/>
                                <w:b w:val="0"/>
                                <w:bCs/>
                                <w:sz w:val="24"/>
                                <w:szCs w:val="24"/>
                                <w:lang w:val="en-US" w:eastAsia="zh-CN" w:bidi="zh-CN"/>
                              </w:rPr>
                              <w:t>银行存款清查概念、清查不符的原因。</w:t>
                            </w:r>
                          </w:p>
                          <w:p w14:paraId="1D679361">
                            <w:pPr>
                              <w:autoSpaceDE w:val="0"/>
                              <w:autoSpaceDN w:val="0"/>
                              <w:spacing w:before="0" w:after="0" w:line="360" w:lineRule="auto"/>
                              <w:ind w:left="80" w:right="1449" w:firstLine="0"/>
                              <w:jc w:val="left"/>
                              <w:rPr>
                                <w:rFonts w:hint="eastAsia" w:ascii="黑体" w:hAnsi="黑体" w:eastAsia="黑体" w:cs="黑体"/>
                                <w:b/>
                                <w:kern w:val="0"/>
                                <w:sz w:val="24"/>
                                <w:szCs w:val="24"/>
                                <w:lang w:val="en-US" w:eastAsia="zh-CN" w:bidi="zh-CN"/>
                              </w:rPr>
                            </w:pPr>
                            <w:r>
                              <w:rPr>
                                <w:rFonts w:hint="eastAsia" w:ascii="黑体" w:hAnsi="黑体" w:eastAsia="黑体" w:cs="黑体"/>
                                <w:b/>
                                <w:kern w:val="0"/>
                                <w:sz w:val="24"/>
                                <w:szCs w:val="24"/>
                                <w:lang w:val="zh-CN" w:bidi="zh-CN"/>
                              </w:rPr>
                              <w:t>教学难点：</w:t>
                            </w:r>
                            <w:r>
                              <w:rPr>
                                <w:rFonts w:hint="eastAsia" w:ascii="黑体" w:hAnsi="黑体" w:eastAsia="黑体" w:cs="黑体"/>
                                <w:b/>
                                <w:kern w:val="0"/>
                                <w:sz w:val="24"/>
                                <w:szCs w:val="24"/>
                                <w:lang w:val="en-US" w:bidi="zh-CN"/>
                              </w:rPr>
                              <w:t>未达账项的理解及银行存款余额调节表编制实操</w:t>
                            </w:r>
                            <w:r>
                              <w:rPr>
                                <w:rFonts w:hint="eastAsia" w:ascii="黑体" w:hAnsi="黑体" w:eastAsia="黑体" w:cs="黑体"/>
                                <w:b w:val="0"/>
                                <w:bCs/>
                                <w:kern w:val="0"/>
                                <w:sz w:val="24"/>
                                <w:szCs w:val="24"/>
                                <w:lang w:val="en-US" w:eastAsia="zh-CN" w:bidi="zh-CN"/>
                              </w:rPr>
                              <w:t>。</w:t>
                            </w:r>
                          </w:p>
                          <w:p w14:paraId="73BDE65E">
                            <w:pPr>
                              <w:widowControl w:val="0"/>
                              <w:autoSpaceDE w:val="0"/>
                              <w:autoSpaceDN w:val="0"/>
                              <w:spacing w:before="0" w:after="0" w:line="360" w:lineRule="auto"/>
                              <w:ind w:left="80" w:right="0"/>
                              <w:jc w:val="left"/>
                              <w:rPr>
                                <w:rFonts w:hint="eastAsia" w:ascii="黑体" w:hAnsi="黑体" w:eastAsia="黑体" w:cs="黑体"/>
                                <w:b/>
                                <w:sz w:val="15"/>
                                <w:szCs w:val="21"/>
                                <w:lang w:val="zh-CN" w:eastAsia="zh-CN" w:bidi="zh-CN"/>
                              </w:rPr>
                            </w:pPr>
                            <w:r>
                              <w:rPr>
                                <w:rFonts w:hint="eastAsia" w:ascii="黑体" w:hAnsi="黑体" w:eastAsia="黑体" w:cs="黑体"/>
                                <w:b/>
                                <w:sz w:val="24"/>
                                <w:szCs w:val="24"/>
                                <w:lang w:val="zh-CN" w:eastAsia="zh-CN" w:bidi="zh-CN"/>
                              </w:rPr>
                              <w:t>教学方法：</w:t>
                            </w:r>
                            <w:r>
                              <w:rPr>
                                <w:rFonts w:hint="eastAsia" w:ascii="黑体" w:hAnsi="黑体" w:eastAsia="黑体" w:cs="黑体"/>
                                <w:sz w:val="24"/>
                                <w:szCs w:val="24"/>
                                <w:lang w:val="zh-CN" w:eastAsia="zh-CN" w:bidi="zh-CN"/>
                              </w:rPr>
                              <w:t>讲授法、PPT演示、案例法、实训法</w:t>
                            </w:r>
                          </w:p>
                          <w:p w14:paraId="611CC6E2">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授课时数：</w:t>
                            </w:r>
                            <w:r>
                              <w:rPr>
                                <w:rFonts w:hint="eastAsia" w:ascii="黑体" w:hAnsi="黑体" w:eastAsia="黑体" w:cs="黑体"/>
                                <w:b w:val="0"/>
                                <w:bCs/>
                                <w:sz w:val="24"/>
                                <w:szCs w:val="24"/>
                                <w:lang w:val="zh-CN" w:eastAsia="zh-CN" w:bidi="zh-CN"/>
                              </w:rPr>
                              <w:t>2课时</w:t>
                            </w:r>
                          </w:p>
                        </w:txbxContent>
                      </wps:txbx>
                      <wps:bodyPr vert="horz" wrap="square" lIns="0" tIns="0" rIns="0" bIns="0" anchor="t" anchorCtr="0" upright="1">
                        <a:spAutoFit/>
                      </wps:bodyPr>
                    </wps:wsp>
                  </a:graphicData>
                </a:graphic>
              </wp:anchor>
            </w:drawing>
          </mc:Choice>
          <mc:Fallback>
            <w:pict>
              <v:shape id="文本框 12" o:spid="_x0000_s1026" o:spt="202" type="#_x0000_t202" style="position:absolute;left:0pt;margin-left:86.3pt;margin-top:18.7pt;height:157.4pt;width:428pt;mso-position-horizontal-relative:page;mso-wrap-distance-bottom:0pt;mso-wrap-distance-top:0pt;z-index:-251653120;mso-width-relative:page;mso-height-relative:page;" filled="f" stroked="t" coordsize="21600,21600" o:gfxdata="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IQBIYjaAAAACwEAAA8AAAAAAAAAAQAgAAAAIgAA&#10;AGRycy9kb3ducmV2LnhtbFBLAQIUABQAAAAIAIdO4kCW2zqEPwIAAIEEAAAOAAAAAAAAAAEAIAAA&#10;ACkBAABkcnMvZTJvRG9jLnhtbFBLBQYAAAAABgAGAFkBAADaBQAAAAA=&#10;">
                <v:fill on="f" focussize="0,0"/>
                <v:stroke weight="0.48pt" color="#000000" joinstyle="miter"/>
                <v:imagedata o:title=""/>
                <o:lock v:ext="edit" aspectratio="f"/>
                <v:textbox inset="0mm,0mm,0mm,0mm" style="mso-fit-shape-to-text:t;">
                  <w:txbxContent>
                    <w:p w14:paraId="753BAB96">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教学目的：</w:t>
                      </w:r>
                      <w:r>
                        <w:rPr>
                          <w:rFonts w:hint="eastAsia" w:ascii="黑体" w:hAnsi="黑体" w:eastAsia="黑体" w:cs="黑体"/>
                          <w:b w:val="0"/>
                          <w:bCs/>
                          <w:sz w:val="24"/>
                          <w:szCs w:val="24"/>
                          <w:lang w:val="zh-CN" w:eastAsia="zh-CN" w:bidi="zh-CN"/>
                        </w:rPr>
                        <w:t>掌握</w:t>
                      </w:r>
                      <w:r>
                        <w:rPr>
                          <w:rFonts w:hint="eastAsia" w:ascii="黑体" w:hAnsi="黑体" w:eastAsia="黑体" w:cs="黑体"/>
                          <w:b w:val="0"/>
                          <w:bCs/>
                          <w:sz w:val="24"/>
                          <w:szCs w:val="24"/>
                          <w:lang w:val="en-US" w:eastAsia="zh-CN" w:bidi="zh-CN"/>
                        </w:rPr>
                        <w:t>银行存款清查概念、未达账项的原理及银行存款余额调节表编制的实操</w:t>
                      </w:r>
                      <w:r>
                        <w:rPr>
                          <w:rFonts w:hint="eastAsia" w:ascii="黑体" w:hAnsi="黑体" w:eastAsia="黑体" w:cs="黑体"/>
                          <w:b w:val="0"/>
                          <w:bCs/>
                          <w:sz w:val="24"/>
                          <w:szCs w:val="24"/>
                          <w:lang w:val="zh-CN" w:eastAsia="zh-CN" w:bidi="zh-CN"/>
                        </w:rPr>
                        <w:t>。</w:t>
                      </w:r>
                    </w:p>
                    <w:p w14:paraId="3B12322A">
                      <w:pPr>
                        <w:widowControl w:val="0"/>
                        <w:autoSpaceDE w:val="0"/>
                        <w:autoSpaceDN w:val="0"/>
                        <w:spacing w:before="0" w:after="0" w:line="360" w:lineRule="auto"/>
                        <w:ind w:left="80" w:right="74"/>
                        <w:jc w:val="left"/>
                        <w:rPr>
                          <w:rFonts w:hint="default" w:ascii="黑体" w:hAnsi="黑体" w:eastAsia="黑体" w:cs="黑体"/>
                          <w:b w:val="0"/>
                          <w:bCs/>
                          <w:sz w:val="24"/>
                          <w:szCs w:val="24"/>
                          <w:lang w:val="en-US" w:eastAsia="zh-CN" w:bidi="zh-CN"/>
                        </w:rPr>
                      </w:pPr>
                      <w:r>
                        <w:rPr>
                          <w:rFonts w:hint="eastAsia" w:ascii="黑体" w:hAnsi="黑体" w:eastAsia="黑体" w:cs="黑体"/>
                          <w:b/>
                          <w:sz w:val="24"/>
                          <w:szCs w:val="24"/>
                          <w:lang w:val="zh-CN" w:eastAsia="zh-CN" w:bidi="zh-CN"/>
                        </w:rPr>
                        <w:t>教学重点：</w:t>
                      </w:r>
                      <w:r>
                        <w:rPr>
                          <w:rFonts w:hint="eastAsia" w:ascii="黑体" w:hAnsi="黑体" w:eastAsia="黑体" w:cs="黑体"/>
                          <w:b w:val="0"/>
                          <w:bCs/>
                          <w:sz w:val="24"/>
                          <w:szCs w:val="24"/>
                          <w:lang w:val="en-US" w:eastAsia="zh-CN" w:bidi="zh-CN"/>
                        </w:rPr>
                        <w:t>银行存款清查概念、清查不符的原因。</w:t>
                      </w:r>
                    </w:p>
                    <w:p w14:paraId="1D679361">
                      <w:pPr>
                        <w:autoSpaceDE w:val="0"/>
                        <w:autoSpaceDN w:val="0"/>
                        <w:spacing w:before="0" w:after="0" w:line="360" w:lineRule="auto"/>
                        <w:ind w:left="80" w:right="1449" w:firstLine="0"/>
                        <w:jc w:val="left"/>
                        <w:rPr>
                          <w:rFonts w:hint="eastAsia" w:ascii="黑体" w:hAnsi="黑体" w:eastAsia="黑体" w:cs="黑体"/>
                          <w:b/>
                          <w:kern w:val="0"/>
                          <w:sz w:val="24"/>
                          <w:szCs w:val="24"/>
                          <w:lang w:val="en-US" w:eastAsia="zh-CN" w:bidi="zh-CN"/>
                        </w:rPr>
                      </w:pPr>
                      <w:r>
                        <w:rPr>
                          <w:rFonts w:hint="eastAsia" w:ascii="黑体" w:hAnsi="黑体" w:eastAsia="黑体" w:cs="黑体"/>
                          <w:b/>
                          <w:kern w:val="0"/>
                          <w:sz w:val="24"/>
                          <w:szCs w:val="24"/>
                          <w:lang w:val="zh-CN" w:bidi="zh-CN"/>
                        </w:rPr>
                        <w:t>教学难点：</w:t>
                      </w:r>
                      <w:r>
                        <w:rPr>
                          <w:rFonts w:hint="eastAsia" w:ascii="黑体" w:hAnsi="黑体" w:eastAsia="黑体" w:cs="黑体"/>
                          <w:b/>
                          <w:kern w:val="0"/>
                          <w:sz w:val="24"/>
                          <w:szCs w:val="24"/>
                          <w:lang w:val="en-US" w:bidi="zh-CN"/>
                        </w:rPr>
                        <w:t>未达账项的理解及银行存款余额调节表编制实操</w:t>
                      </w:r>
                      <w:r>
                        <w:rPr>
                          <w:rFonts w:hint="eastAsia" w:ascii="黑体" w:hAnsi="黑体" w:eastAsia="黑体" w:cs="黑体"/>
                          <w:b w:val="0"/>
                          <w:bCs/>
                          <w:kern w:val="0"/>
                          <w:sz w:val="24"/>
                          <w:szCs w:val="24"/>
                          <w:lang w:val="en-US" w:eastAsia="zh-CN" w:bidi="zh-CN"/>
                        </w:rPr>
                        <w:t>。</w:t>
                      </w:r>
                    </w:p>
                    <w:p w14:paraId="73BDE65E">
                      <w:pPr>
                        <w:widowControl w:val="0"/>
                        <w:autoSpaceDE w:val="0"/>
                        <w:autoSpaceDN w:val="0"/>
                        <w:spacing w:before="0" w:after="0" w:line="360" w:lineRule="auto"/>
                        <w:ind w:left="80" w:right="0"/>
                        <w:jc w:val="left"/>
                        <w:rPr>
                          <w:rFonts w:hint="eastAsia" w:ascii="黑体" w:hAnsi="黑体" w:eastAsia="黑体" w:cs="黑体"/>
                          <w:b/>
                          <w:sz w:val="15"/>
                          <w:szCs w:val="21"/>
                          <w:lang w:val="zh-CN" w:eastAsia="zh-CN" w:bidi="zh-CN"/>
                        </w:rPr>
                      </w:pPr>
                      <w:r>
                        <w:rPr>
                          <w:rFonts w:hint="eastAsia" w:ascii="黑体" w:hAnsi="黑体" w:eastAsia="黑体" w:cs="黑体"/>
                          <w:b/>
                          <w:sz w:val="24"/>
                          <w:szCs w:val="24"/>
                          <w:lang w:val="zh-CN" w:eastAsia="zh-CN" w:bidi="zh-CN"/>
                        </w:rPr>
                        <w:t>教学方法：</w:t>
                      </w:r>
                      <w:r>
                        <w:rPr>
                          <w:rFonts w:hint="eastAsia" w:ascii="黑体" w:hAnsi="黑体" w:eastAsia="黑体" w:cs="黑体"/>
                          <w:sz w:val="24"/>
                          <w:szCs w:val="24"/>
                          <w:lang w:val="zh-CN" w:eastAsia="zh-CN" w:bidi="zh-CN"/>
                        </w:rPr>
                        <w:t>讲授法、PPT演示、案例法、实训法</w:t>
                      </w:r>
                    </w:p>
                    <w:p w14:paraId="611CC6E2">
                      <w:pPr>
                        <w:widowControl w:val="0"/>
                        <w:autoSpaceDE w:val="0"/>
                        <w:autoSpaceDN w:val="0"/>
                        <w:spacing w:before="0" w:after="0" w:line="360" w:lineRule="auto"/>
                        <w:ind w:left="80" w:right="74"/>
                        <w:jc w:val="left"/>
                        <w:rPr>
                          <w:rFonts w:hint="eastAsia" w:ascii="黑体" w:hAnsi="黑体" w:eastAsia="黑体" w:cs="黑体"/>
                          <w:b w:val="0"/>
                          <w:bCs/>
                          <w:sz w:val="24"/>
                          <w:szCs w:val="24"/>
                          <w:lang w:val="zh-CN" w:eastAsia="zh-CN" w:bidi="zh-CN"/>
                        </w:rPr>
                      </w:pPr>
                      <w:r>
                        <w:rPr>
                          <w:rFonts w:hint="eastAsia" w:ascii="黑体" w:hAnsi="黑体" w:eastAsia="黑体" w:cs="黑体"/>
                          <w:b/>
                          <w:sz w:val="24"/>
                          <w:szCs w:val="24"/>
                          <w:lang w:val="zh-CN" w:eastAsia="zh-CN" w:bidi="zh-CN"/>
                        </w:rPr>
                        <w:t>授课时数：</w:t>
                      </w:r>
                      <w:r>
                        <w:rPr>
                          <w:rFonts w:hint="eastAsia" w:ascii="黑体" w:hAnsi="黑体" w:eastAsia="黑体" w:cs="黑体"/>
                          <w:b w:val="0"/>
                          <w:bCs/>
                          <w:sz w:val="24"/>
                          <w:szCs w:val="24"/>
                          <w:lang w:val="zh-CN" w:eastAsia="zh-CN" w:bidi="zh-CN"/>
                        </w:rPr>
                        <w:t>2课时</w:t>
                      </w:r>
                    </w:p>
                  </w:txbxContent>
                </v:textbox>
                <w10:wrap type="topAndBottom"/>
              </v:shape>
            </w:pict>
          </mc:Fallback>
        </mc:AlternateContent>
      </w:r>
    </w:p>
    <w:p w14:paraId="0C5170A7">
      <w:pPr>
        <w:pStyle w:val="4"/>
        <w:numPr>
          <w:ilvl w:val="0"/>
          <w:numId w:val="20"/>
        </w:numPr>
        <w:topLinePunct w:val="0"/>
        <w:ind w:left="0" w:leftChars="0" w:firstLine="0" w:firstLineChars="0"/>
        <w:rPr>
          <w:rFonts w:hint="eastAsia" w:ascii="黑体" w:hAnsi="黑体" w:eastAsia="黑体" w:cs="黑体"/>
          <w:b w:val="0"/>
        </w:rPr>
      </w:pPr>
      <w:r>
        <w:t>银行存款清查</w:t>
      </w:r>
    </w:p>
    <w:p w14:paraId="1FE1E840">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含义：将银行存款日记帐的余额与银行对账单相核对，确认账实是否相符的方法。</w:t>
      </w:r>
    </w:p>
    <w:p w14:paraId="1BC73BB7">
      <w:pPr>
        <w:pStyle w:val="11"/>
      </w:pPr>
      <w:r>
        <w:rPr>
          <w:b w:val="0"/>
          <w:color w:val="000000" w:themeColor="text1"/>
          <w14:textFill>
            <w14:solidFill>
              <w14:schemeClr w14:val="tx1"/>
            </w14:solidFill>
          </w14:textFill>
        </w:rPr>
        <w:t>如果二者金额不等，可能是两个原因：双方记账错误；二是存在未达账项。</w:t>
      </w:r>
    </w:p>
    <w:p w14:paraId="3A5FDEE4">
      <w:pPr>
        <w:pStyle w:val="4"/>
        <w:numPr>
          <w:ilvl w:val="0"/>
          <w:numId w:val="20"/>
        </w:numPr>
        <w:topLinePunct w:val="0"/>
        <w:ind w:left="0" w:leftChars="0" w:firstLine="0" w:firstLineChars="0"/>
        <w:rPr>
          <w:rFonts w:hint="eastAsia" w:ascii="黑体" w:hAnsi="黑体" w:eastAsia="黑体" w:cs="黑体"/>
          <w:b w:val="0"/>
        </w:rPr>
      </w:pPr>
      <w:r>
        <w:t>未达账项的含义</w:t>
      </w:r>
    </w:p>
    <w:p w14:paraId="75B1328A">
      <w:pPr>
        <w:pStyle w:val="11"/>
        <w:rPr>
          <w:b w:val="0"/>
          <w:color w:val="000000" w:themeColor="text1"/>
          <w14:textFill>
            <w14:solidFill>
              <w14:schemeClr w14:val="tx1"/>
            </w14:solidFill>
          </w14:textFill>
        </w:rPr>
      </w:pPr>
      <w:r>
        <w:rPr>
          <w:b w:val="0"/>
          <w:color w:val="000000" w:themeColor="text1"/>
          <w14:textFill>
            <w14:solidFill>
              <w14:schemeClr w14:val="tx1"/>
            </w14:solidFill>
          </w14:textFill>
        </w:rPr>
        <w:t>银企之间，由于结算凭证传递的时间差（原因），而造成的一方已经入账、而另一方因未收到结算凭证，尚未入账的款项。</w:t>
      </w:r>
    </w:p>
    <w:p w14:paraId="71131772">
      <w:pPr>
        <w:pStyle w:val="4"/>
        <w:numPr>
          <w:ilvl w:val="0"/>
          <w:numId w:val="20"/>
        </w:numPr>
        <w:topLinePunct w:val="0"/>
        <w:ind w:left="0" w:leftChars="0" w:firstLine="0" w:firstLineChars="0"/>
        <w:rPr>
          <w:rFonts w:hint="eastAsia" w:ascii="黑体" w:hAnsi="黑体" w:eastAsia="黑体" w:cs="黑体"/>
          <w:b w:val="0"/>
        </w:rPr>
      </w:pPr>
      <w:r>
        <w:t>银行存款余额调节表的编制训练</w:t>
      </w:r>
    </w:p>
    <w:p w14:paraId="5393B36D">
      <w:pPr>
        <w:pStyle w:val="11"/>
      </w:pPr>
      <w:r>
        <w:t>海通公司20*4年4月28日~30日银行存款日记账余额为957352元及银行对账单940552元，如表5.16和表5.17所示(假定以前的记录是相符的)。</w:t>
      </w:r>
    </w:p>
    <w:p w14:paraId="4D4926AC">
      <w:pPr>
        <w:pStyle w:val="11"/>
      </w:pPr>
      <w:r>
        <w:t>步骤一：将银行存款日记账和对账单进行核对，找出未达账项。注意核对结算凭证号，双方都有的结算凭证号的说明双方对该项业务都记录了，一方有结算凭证号，另一方查不到</w:t>
      </w:r>
      <w:r>
        <w:rPr>
          <w:rFonts w:hint="eastAsia"/>
          <w:lang w:eastAsia="zh-CN"/>
        </w:rPr>
        <w:t>，</w:t>
      </w:r>
      <w:r>
        <w:t>说明一方已经记录，另一方未记录。同时</w:t>
      </w:r>
      <w:r>
        <w:rPr>
          <w:rFonts w:hint="eastAsia"/>
          <w:lang w:val="en-US" w:eastAsia="zh-CN"/>
        </w:rPr>
        <w:t>注意，</w:t>
      </w:r>
      <w:r>
        <w:t>银行对账单的记账方向和日记账是相反的。</w:t>
      </w:r>
    </w:p>
    <w:p w14:paraId="65004D81">
      <w:pPr>
        <w:keepNext w:val="0"/>
        <w:keepLines w:val="0"/>
        <w:pageBreakBefore w:val="0"/>
        <w:numPr>
          <w:ilvl w:val="0"/>
          <w:numId w:val="0"/>
        </w:numPr>
        <w:kinsoku/>
        <w:wordWrap/>
        <w:overflowPunct/>
        <w:topLinePunct w:val="0"/>
        <w:autoSpaceDE/>
        <w:autoSpaceDN/>
        <w:bidi w:val="0"/>
        <w:adjustRightInd w:val="0"/>
        <w:snapToGrid w:val="0"/>
        <w:spacing w:beforeAutospacing="0" w:afterAutospacing="0" w:line="240" w:lineRule="auto"/>
        <w:ind w:leftChars="0"/>
        <w:jc w:val="left"/>
        <w:textAlignment w:val="auto"/>
      </w:pPr>
      <w:r>
        <w:drawing>
          <wp:inline distT="0" distB="0" distL="114300" distR="114300">
            <wp:extent cx="5268595" cy="2956560"/>
            <wp:effectExtent l="0" t="0" r="1905" b="254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pic:cNvPicPr>
                  </pic:nvPicPr>
                  <pic:blipFill>
                    <a:blip r:embed="rId20"/>
                    <a:stretch>
                      <a:fillRect/>
                    </a:stretch>
                  </pic:blipFill>
                  <pic:spPr>
                    <a:xfrm>
                      <a:off x="0" y="0"/>
                      <a:ext cx="5268595" cy="2956560"/>
                    </a:xfrm>
                    <a:prstGeom prst="rect">
                      <a:avLst/>
                    </a:prstGeom>
                    <a:noFill/>
                    <a:ln>
                      <a:noFill/>
                    </a:ln>
                  </pic:spPr>
                </pic:pic>
              </a:graphicData>
            </a:graphic>
          </wp:inline>
        </w:drawing>
      </w:r>
    </w:p>
    <w:p w14:paraId="72F8B18A">
      <w:pPr>
        <w:keepNext w:val="0"/>
        <w:keepLines w:val="0"/>
        <w:pageBreakBefore w:val="0"/>
        <w:numPr>
          <w:ilvl w:val="0"/>
          <w:numId w:val="0"/>
        </w:numPr>
        <w:kinsoku/>
        <w:wordWrap/>
        <w:overflowPunct/>
        <w:topLinePunct w:val="0"/>
        <w:autoSpaceDE/>
        <w:autoSpaceDN/>
        <w:bidi w:val="0"/>
        <w:adjustRightInd w:val="0"/>
        <w:snapToGrid w:val="0"/>
        <w:spacing w:beforeAutospacing="0" w:afterAutospacing="0" w:line="240" w:lineRule="auto"/>
        <w:ind w:leftChars="0"/>
        <w:jc w:val="left"/>
        <w:textAlignment w:val="auto"/>
      </w:pPr>
      <w:r>
        <w:drawing>
          <wp:inline distT="0" distB="0" distL="114300" distR="114300">
            <wp:extent cx="5267325" cy="2567305"/>
            <wp:effectExtent l="0" t="0" r="3175" b="1079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pic:cNvPicPr>
                      <a:picLocks noChangeAspect="1"/>
                    </pic:cNvPicPr>
                  </pic:nvPicPr>
                  <pic:blipFill>
                    <a:blip r:embed="rId21"/>
                    <a:stretch>
                      <a:fillRect/>
                    </a:stretch>
                  </pic:blipFill>
                  <pic:spPr>
                    <a:xfrm>
                      <a:off x="0" y="0"/>
                      <a:ext cx="5267325" cy="2567305"/>
                    </a:xfrm>
                    <a:prstGeom prst="rect">
                      <a:avLst/>
                    </a:prstGeom>
                    <a:noFill/>
                    <a:ln>
                      <a:noFill/>
                    </a:ln>
                  </pic:spPr>
                </pic:pic>
              </a:graphicData>
            </a:graphic>
          </wp:inline>
        </w:drawing>
      </w:r>
    </w:p>
    <w:p w14:paraId="6CCA8404">
      <w:pPr>
        <w:pStyle w:val="11"/>
      </w:pPr>
      <w:r>
        <w:t>步骤二：将未达账项过入银行存款余额调节表。</w:t>
      </w:r>
    </w:p>
    <w:p w14:paraId="4A1A9649">
      <w:pPr>
        <w:pStyle w:val="11"/>
      </w:pPr>
      <w:r>
        <w:rPr>
          <w:rFonts w:hint="eastAsia"/>
          <w:lang w:val="en-US" w:eastAsia="zh-CN"/>
        </w:rPr>
        <w:t>通过核对日记账和对账单，查出</w:t>
      </w:r>
      <w:r>
        <w:t>存在四项未达账项，分别是：</w:t>
      </w:r>
    </w:p>
    <w:p w14:paraId="680C31CC">
      <w:pPr>
        <w:pStyle w:val="11"/>
        <w:numPr>
          <w:ilvl w:val="0"/>
          <w:numId w:val="21"/>
        </w:numPr>
        <w:topLinePunct w:val="0"/>
        <w:ind w:left="0" w:leftChars="0" w:firstLine="480" w:firstLineChars="0"/>
        <w:rPr>
          <w:rFonts w:hint="eastAsia" w:ascii="宋体" w:hAnsi="宋体" w:eastAsia="宋体" w:cs="宋体"/>
          <w:b w:val="0"/>
        </w:rPr>
      </w:pPr>
      <w:r>
        <w:t>企业销售收到的转账支票（0237）65800元，但是银行尚未收到。</w:t>
      </w:r>
    </w:p>
    <w:p w14:paraId="6E9DE469">
      <w:pPr>
        <w:pStyle w:val="11"/>
        <w:numPr>
          <w:ilvl w:val="0"/>
          <w:numId w:val="21"/>
        </w:numPr>
        <w:topLinePunct w:val="0"/>
        <w:ind w:left="0" w:leftChars="0" w:firstLine="480" w:firstLineChars="0"/>
        <w:rPr>
          <w:rFonts w:hint="eastAsia" w:ascii="宋体" w:hAnsi="宋体" w:eastAsia="宋体" w:cs="宋体"/>
          <w:b w:val="0"/>
        </w:rPr>
      </w:pPr>
      <w:r>
        <w:t>企业开出转账支票（6027）37000元支付材料款，但是银行尚未记账。</w:t>
      </w:r>
    </w:p>
    <w:p w14:paraId="4D93431B">
      <w:pPr>
        <w:pStyle w:val="11"/>
        <w:numPr>
          <w:ilvl w:val="0"/>
          <w:numId w:val="21"/>
        </w:numPr>
        <w:topLinePunct w:val="0"/>
        <w:ind w:left="0" w:leftChars="0" w:firstLine="480" w:firstLineChars="0"/>
        <w:rPr>
          <w:rFonts w:hint="eastAsia" w:ascii="宋体" w:hAnsi="宋体" w:eastAsia="宋体" w:cs="宋体"/>
          <w:b w:val="0"/>
        </w:rPr>
      </w:pPr>
      <w:r>
        <w:t>企业委托银行代收购货款48000元（0067），银行已收，企业未收到收款通知。</w:t>
      </w:r>
    </w:p>
    <w:p w14:paraId="5DC55C28">
      <w:pPr>
        <w:pStyle w:val="11"/>
        <w:numPr>
          <w:ilvl w:val="0"/>
          <w:numId w:val="21"/>
        </w:numPr>
        <w:topLinePunct w:val="0"/>
        <w:ind w:left="0" w:leftChars="0" w:firstLine="480" w:firstLineChars="0"/>
        <w:rPr>
          <w:rFonts w:hint="eastAsia" w:ascii="宋体" w:hAnsi="宋体" w:eastAsia="宋体" w:cs="宋体"/>
          <w:b w:val="0"/>
        </w:rPr>
      </w:pPr>
      <w:r>
        <w:t>银行代企业支付电话费36000元，银行已记，企业尚未收到付款通知。</w:t>
      </w:r>
    </w:p>
    <w:p w14:paraId="03058698">
      <w:pPr>
        <w:rPr>
          <w:rFonts w:hint="eastAsia" w:ascii="宋体" w:hAnsi="宋体" w:eastAsia="宋体" w:cs="宋体"/>
          <w:b w:val="0"/>
        </w:rPr>
      </w:pPr>
      <w:r>
        <w:br w:type="page"/>
      </w:r>
    </w:p>
    <w:p w14:paraId="09064B1E">
      <w:pPr>
        <w:pStyle w:val="19"/>
      </w:pPr>
      <w:r>
        <w:t>银行存款余额调节表</w:t>
      </w:r>
    </w:p>
    <w:p w14:paraId="2D4F462B">
      <w:pPr>
        <w:pStyle w:val="11"/>
      </w:pPr>
      <w:r>
        <w:t>单位名称：海通公司</w:t>
      </w:r>
      <w:r>
        <w:rPr>
          <w:rFonts w:hint="eastAsia"/>
          <w:lang w:val="en-US" w:eastAsia="zh-CN"/>
        </w:rPr>
        <w:t xml:space="preserve">      </w:t>
      </w:r>
      <w:r>
        <w:t>20*4年4月30日</w:t>
      </w:r>
      <w:r>
        <w:rPr>
          <w:rFonts w:hint="eastAsia"/>
          <w:lang w:val="en-US" w:eastAsia="zh-CN"/>
        </w:rPr>
        <w:t xml:space="preserve">             </w:t>
      </w:r>
      <w:r>
        <w:t>单位：元</w:t>
      </w:r>
    </w:p>
    <w:tbl>
      <w:tblPr>
        <w:tblStyle w:val="17"/>
        <w:tblW w:w="5000" w:type="pct"/>
        <w:tblInd w:w="0" w:type="dxa"/>
        <w:tblLayout w:type="autofit"/>
        <w:tblCellMar>
          <w:top w:w="0" w:type="dxa"/>
          <w:left w:w="0" w:type="dxa"/>
          <w:bottom w:w="0" w:type="dxa"/>
          <w:right w:w="0" w:type="dxa"/>
        </w:tblCellMar>
      </w:tblPr>
      <w:tblGrid>
        <w:gridCol w:w="3246"/>
        <w:gridCol w:w="1013"/>
        <w:gridCol w:w="3248"/>
        <w:gridCol w:w="1015"/>
      </w:tblGrid>
      <w:tr w14:paraId="168A139A">
        <w:tblPrEx>
          <w:tblCellMar>
            <w:top w:w="0" w:type="dxa"/>
            <w:left w:w="0" w:type="dxa"/>
            <w:bottom w:w="0" w:type="dxa"/>
            <w:right w:w="0" w:type="dxa"/>
          </w:tblCellMar>
        </w:tblPrEx>
        <w:tc>
          <w:tcPr>
            <w:tcW w:w="190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55FE268">
            <w:pPr>
              <w:jc w:val="center"/>
              <w:rPr>
                <w:b/>
              </w:rPr>
            </w:pPr>
            <w:r>
              <w:rPr>
                <w:b/>
              </w:rPr>
              <w:t>项目</w:t>
            </w:r>
          </w:p>
        </w:tc>
        <w:tc>
          <w:tcPr>
            <w:tcW w:w="59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54288E6">
            <w:pPr>
              <w:jc w:val="center"/>
              <w:rPr>
                <w:b/>
              </w:rPr>
            </w:pPr>
            <w:r>
              <w:rPr>
                <w:b/>
              </w:rPr>
              <w:t>金额</w:t>
            </w:r>
          </w:p>
        </w:tc>
        <w:tc>
          <w:tcPr>
            <w:tcW w:w="190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7738F37">
            <w:pPr>
              <w:jc w:val="center"/>
              <w:rPr>
                <w:b/>
              </w:rPr>
            </w:pPr>
            <w:r>
              <w:rPr>
                <w:b/>
              </w:rPr>
              <w:t>项目</w:t>
            </w:r>
          </w:p>
        </w:tc>
        <w:tc>
          <w:tcPr>
            <w:tcW w:w="5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A2B91AE">
            <w:pPr>
              <w:jc w:val="center"/>
              <w:rPr>
                <w:b/>
              </w:rPr>
            </w:pPr>
            <w:r>
              <w:rPr>
                <w:b/>
              </w:rPr>
              <w:t>金额</w:t>
            </w:r>
          </w:p>
        </w:tc>
      </w:tr>
      <w:tr w14:paraId="47A4F364">
        <w:tblPrEx>
          <w:tblCellMar>
            <w:top w:w="0" w:type="dxa"/>
            <w:left w:w="0" w:type="dxa"/>
            <w:bottom w:w="0" w:type="dxa"/>
            <w:right w:w="0" w:type="dxa"/>
          </w:tblCellMar>
        </w:tblPrEx>
        <w:tc>
          <w:tcPr>
            <w:tcW w:w="190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7CCB8FF">
            <w:r>
              <w:t>企业银行存款日记账余额</w:t>
            </w:r>
          </w:p>
        </w:tc>
        <w:tc>
          <w:tcPr>
            <w:tcW w:w="59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B32B9B1">
            <w:r>
              <w:t>957352</w:t>
            </w:r>
          </w:p>
        </w:tc>
        <w:tc>
          <w:tcPr>
            <w:tcW w:w="190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CD3930B">
            <w:r>
              <w:t>银行对账单余额</w:t>
            </w:r>
          </w:p>
        </w:tc>
        <w:tc>
          <w:tcPr>
            <w:tcW w:w="5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5899842">
            <w:r>
              <w:t>940552</w:t>
            </w:r>
          </w:p>
        </w:tc>
      </w:tr>
      <w:tr w14:paraId="01DAAE6E">
        <w:tblPrEx>
          <w:tblCellMar>
            <w:top w:w="0" w:type="dxa"/>
            <w:left w:w="0" w:type="dxa"/>
            <w:bottom w:w="0" w:type="dxa"/>
            <w:right w:w="0" w:type="dxa"/>
          </w:tblCellMar>
        </w:tblPrEx>
        <w:tc>
          <w:tcPr>
            <w:tcW w:w="190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54E0734">
            <w:r>
              <w:t>加：银行已收、企业未收款</w:t>
            </w:r>
          </w:p>
        </w:tc>
        <w:tc>
          <w:tcPr>
            <w:tcW w:w="59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5AA3751">
            <w:r>
              <w:t>48000</w:t>
            </w:r>
          </w:p>
        </w:tc>
        <w:tc>
          <w:tcPr>
            <w:tcW w:w="190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30D87771">
            <w:r>
              <w:t>加：企业已收、银行未收款</w:t>
            </w:r>
          </w:p>
        </w:tc>
        <w:tc>
          <w:tcPr>
            <w:tcW w:w="5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682D58B">
            <w:r>
              <w:t>65800</w:t>
            </w:r>
          </w:p>
        </w:tc>
      </w:tr>
      <w:tr w14:paraId="3D34C9CC">
        <w:tblPrEx>
          <w:tblCellMar>
            <w:top w:w="0" w:type="dxa"/>
            <w:left w:w="0" w:type="dxa"/>
            <w:bottom w:w="0" w:type="dxa"/>
            <w:right w:w="0" w:type="dxa"/>
          </w:tblCellMar>
        </w:tblPrEx>
        <w:tc>
          <w:tcPr>
            <w:tcW w:w="190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AE94D7B">
            <w:r>
              <w:t>减：银行已付、企业未付款</w:t>
            </w:r>
          </w:p>
        </w:tc>
        <w:tc>
          <w:tcPr>
            <w:tcW w:w="59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27AAD65">
            <w:r>
              <w:t>36000</w:t>
            </w:r>
          </w:p>
        </w:tc>
        <w:tc>
          <w:tcPr>
            <w:tcW w:w="190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A5E5AC4">
            <w:r>
              <w:t>减：企业已付、银行未付款</w:t>
            </w:r>
          </w:p>
        </w:tc>
        <w:tc>
          <w:tcPr>
            <w:tcW w:w="5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C76022D">
            <w:r>
              <w:t>37000</w:t>
            </w:r>
          </w:p>
        </w:tc>
      </w:tr>
      <w:tr w14:paraId="7F2016B7">
        <w:tblPrEx>
          <w:tblCellMar>
            <w:top w:w="0" w:type="dxa"/>
            <w:left w:w="0" w:type="dxa"/>
            <w:bottom w:w="0" w:type="dxa"/>
            <w:right w:w="0" w:type="dxa"/>
          </w:tblCellMar>
        </w:tblPrEx>
        <w:tc>
          <w:tcPr>
            <w:tcW w:w="190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63EA0BF3">
            <w:r>
              <w:t>调节后的存款余额</w:t>
            </w:r>
          </w:p>
        </w:tc>
        <w:tc>
          <w:tcPr>
            <w:tcW w:w="594"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400DFA1E">
            <w:r>
              <w:t>969352</w:t>
            </w:r>
          </w:p>
        </w:tc>
        <w:tc>
          <w:tcPr>
            <w:tcW w:w="190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6687AC3">
            <w:r>
              <w:t>调节后的存款余额</w:t>
            </w:r>
          </w:p>
        </w:tc>
        <w:tc>
          <w:tcPr>
            <w:tcW w:w="5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7C2F275">
            <w:r>
              <w:t>969352</w:t>
            </w:r>
          </w:p>
        </w:tc>
      </w:tr>
    </w:tbl>
    <w:p w14:paraId="4709A507">
      <w:pPr>
        <w:keepNext w:val="0"/>
        <w:keepLines w:val="0"/>
        <w:pageBreakBefore w:val="0"/>
        <w:numPr>
          <w:ilvl w:val="0"/>
          <w:numId w:val="0"/>
        </w:numPr>
        <w:kinsoku/>
        <w:wordWrap/>
        <w:overflowPunct/>
        <w:topLinePunct w:val="0"/>
        <w:autoSpaceDE/>
        <w:autoSpaceDN/>
        <w:bidi w:val="0"/>
        <w:adjustRightInd w:val="0"/>
        <w:snapToGrid w:val="0"/>
        <w:spacing w:beforeAutospacing="0" w:afterAutospacing="0"/>
        <w:jc w:val="left"/>
        <w:textAlignment w:val="auto"/>
        <w:rPr>
          <w:rFonts w:hint="default"/>
          <w:lang w:val="en-US" w:eastAsia="zh-CN"/>
        </w:rPr>
      </w:pP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03FB74D5-5DE0-458E-B983-2D65B185A0A7}"/>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416D7529-7FEF-4EE7-8DEB-9CEA966EABD2}"/>
  </w:font>
  <w:font w:name="汉仪旗黑-75S">
    <w:panose1 w:val="00020600040101010101"/>
    <w:charset w:val="86"/>
    <w:family w:val="auto"/>
    <w:pitch w:val="default"/>
    <w:sig w:usb0="A00002BF" w:usb1="3ACF7CFA" w:usb2="00000016" w:usb3="00000000" w:csb0="0004009F" w:csb1="DFD70000"/>
    <w:embedRegular r:id="rId3" w:fontKey="{86D5D06D-E3FE-4689-83FD-C3C75CB13821}"/>
  </w:font>
  <w:font w:name="微软雅黑">
    <w:panose1 w:val="020B0503020204020204"/>
    <w:charset w:val="86"/>
    <w:family w:val="auto"/>
    <w:pitch w:val="default"/>
    <w:sig w:usb0="80000287" w:usb1="2ACF3C50" w:usb2="00000016" w:usb3="00000000" w:csb0="0004001F" w:csb1="00000000"/>
    <w:embedRegular r:id="rId4" w:fontKey="{F1DCD8AA-565B-4D9B-98C6-ADE0BBD8D83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308952">
    <w:pPr>
      <w:pStyle w:val="1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348C8D4">
                          <w:pPr>
                            <w:pStyle w:val="1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6348C8D4">
                    <w:pPr>
                      <w:pStyle w:val="12"/>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339C92">
    <w:pPr>
      <w:widowControl w:val="0"/>
      <w:pBdr>
        <w:top w:val="none" w:color="auto" w:sz="0" w:space="1"/>
        <w:left w:val="none" w:color="auto" w:sz="0" w:space="4"/>
        <w:bottom w:val="single" w:color="auto" w:sz="4" w:space="1"/>
        <w:right w:val="none" w:color="auto" w:sz="0" w:space="4"/>
      </w:pBdr>
      <w:snapToGrid w:val="0"/>
      <w:spacing w:line="240" w:lineRule="auto"/>
      <w:jc w:val="center"/>
      <w:outlineLvl w:val="9"/>
      <w:rPr>
        <w:rFonts w:hint="default" w:asciiTheme="minorHAnsi" w:hAnsiTheme="minorHAnsi" w:eastAsiaTheme="minorEastAsia" w:cstheme="minorBidi"/>
        <w:kern w:val="2"/>
        <w:sz w:val="18"/>
        <w:szCs w:val="24"/>
        <w:lang w:val="en-US" w:eastAsia="zh-CN" w:bidi="ar-SA"/>
      </w:rPr>
    </w:pPr>
    <w:r>
      <w:rPr>
        <w:rFonts w:hint="eastAsia" w:asciiTheme="minorHAnsi" w:hAnsiTheme="minorHAnsi" w:eastAsiaTheme="minorEastAsia" w:cstheme="minorBidi"/>
        <w:kern w:val="2"/>
        <w:sz w:val="18"/>
        <w:szCs w:val="24"/>
        <w:lang w:val="en-US" w:eastAsia="zh-CN" w:bidi="ar-SA"/>
      </w:rPr>
      <w:t>安徽省“十四五”规划教材配套教材</w:t>
    </w:r>
    <w:r>
      <w:rPr>
        <w:rFonts w:hint="eastAsia" w:ascii="宋体" w:hAnsi="宋体" w:eastAsia="宋体" w:cs="宋体"/>
        <w:kern w:val="2"/>
        <w:sz w:val="18"/>
        <w:szCs w:val="24"/>
        <w:lang w:val="en-US" w:eastAsia="zh-CN" w:bidi="ar-SA"/>
      </w:rPr>
      <w:t>《</w:t>
    </w:r>
    <w:r>
      <w:rPr>
        <w:rFonts w:hint="eastAsia" w:asciiTheme="minorHAnsi" w:hAnsiTheme="minorHAnsi" w:eastAsiaTheme="minorEastAsia" w:cstheme="minorBidi"/>
        <w:kern w:val="2"/>
        <w:sz w:val="18"/>
        <w:szCs w:val="24"/>
        <w:lang w:val="en-US" w:eastAsia="zh-CN" w:bidi="ar-SA"/>
      </w:rPr>
      <w:t>基础会计实训</w:t>
    </w:r>
    <w:r>
      <w:rPr>
        <w:rFonts w:hint="eastAsia" w:ascii="宋体" w:hAnsi="宋体" w:eastAsia="宋体" w:cs="宋体"/>
        <w:kern w:val="2"/>
        <w:sz w:val="18"/>
        <w:szCs w:val="24"/>
        <w:lang w:val="en-US" w:eastAsia="zh-CN" w:bidi="ar-SA"/>
      </w:rPr>
      <w:t>》教案</w:t>
    </w:r>
  </w:p>
  <w:p w14:paraId="7A41A4CB">
    <w:pPr>
      <w:pStyle w:val="1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692A35B"/>
    <w:multiLevelType w:val="singleLevel"/>
    <w:tmpl w:val="9692A35B"/>
    <w:lvl w:ilvl="0" w:tentative="0">
      <w:start w:val="1"/>
      <w:numFmt w:val="decimal"/>
      <w:suff w:val="nothing"/>
      <w:lvlText w:val="（%1）"/>
      <w:lvlJc w:val="left"/>
      <w:pPr>
        <w:ind w:left="0" w:firstLine="480"/>
      </w:pPr>
      <w:rPr>
        <w:rFonts w:hint="default"/>
      </w:rPr>
    </w:lvl>
  </w:abstractNum>
  <w:abstractNum w:abstractNumId="1">
    <w:nsid w:val="BAAA72DF"/>
    <w:multiLevelType w:val="singleLevel"/>
    <w:tmpl w:val="BAAA72DF"/>
    <w:lvl w:ilvl="0" w:tentative="0">
      <w:start w:val="1"/>
      <w:numFmt w:val="decimal"/>
      <w:suff w:val="space"/>
      <w:lvlText w:val="(%1)"/>
      <w:lvlJc w:val="left"/>
      <w:pPr>
        <w:ind w:left="0" w:firstLine="480"/>
      </w:pPr>
      <w:rPr>
        <w:rFonts w:hint="default"/>
      </w:rPr>
    </w:lvl>
  </w:abstractNum>
  <w:abstractNum w:abstractNumId="2">
    <w:nsid w:val="C943A158"/>
    <w:multiLevelType w:val="singleLevel"/>
    <w:tmpl w:val="C943A158"/>
    <w:lvl w:ilvl="0" w:tentative="0">
      <w:start w:val="1"/>
      <w:numFmt w:val="chineseCounting"/>
      <w:suff w:val="nothing"/>
      <w:lvlText w:val="%1、"/>
      <w:lvlJc w:val="left"/>
      <w:pPr>
        <w:ind w:left="0" w:firstLine="0"/>
      </w:pPr>
      <w:rPr>
        <w:rFonts w:hint="eastAsia"/>
      </w:rPr>
    </w:lvl>
  </w:abstractNum>
  <w:abstractNum w:abstractNumId="3">
    <w:nsid w:val="CC67EEF5"/>
    <w:multiLevelType w:val="singleLevel"/>
    <w:tmpl w:val="CC67EEF5"/>
    <w:lvl w:ilvl="0" w:tentative="0">
      <w:start w:val="1"/>
      <w:numFmt w:val="decimal"/>
      <w:suff w:val="nothing"/>
      <w:lvlText w:val="（%1）"/>
      <w:lvlJc w:val="left"/>
      <w:pPr>
        <w:ind w:left="0" w:firstLine="0"/>
      </w:pPr>
      <w:rPr>
        <w:rFonts w:hint="default"/>
      </w:rPr>
    </w:lvl>
  </w:abstractNum>
  <w:abstractNum w:abstractNumId="4">
    <w:nsid w:val="CEF35FD0"/>
    <w:multiLevelType w:val="singleLevel"/>
    <w:tmpl w:val="CEF35FD0"/>
    <w:lvl w:ilvl="0" w:tentative="0">
      <w:start w:val="1"/>
      <w:numFmt w:val="decimalEnclosedCircleChinese"/>
      <w:suff w:val="space"/>
      <w:lvlText w:val="%1"/>
      <w:lvlJc w:val="left"/>
      <w:pPr>
        <w:ind w:left="0" w:firstLine="480"/>
      </w:pPr>
      <w:rPr>
        <w:rFonts w:hint="eastAsia"/>
      </w:rPr>
    </w:lvl>
  </w:abstractNum>
  <w:abstractNum w:abstractNumId="5">
    <w:nsid w:val="D80AE927"/>
    <w:multiLevelType w:val="singleLevel"/>
    <w:tmpl w:val="D80AE927"/>
    <w:lvl w:ilvl="0" w:tentative="0">
      <w:start w:val="1"/>
      <w:numFmt w:val="decimal"/>
      <w:suff w:val="nothing"/>
      <w:lvlText w:val="（%1）"/>
      <w:lvlJc w:val="left"/>
      <w:pPr>
        <w:ind w:left="0" w:firstLine="480"/>
      </w:pPr>
      <w:rPr>
        <w:rFonts w:hint="default"/>
      </w:rPr>
    </w:lvl>
  </w:abstractNum>
  <w:abstractNum w:abstractNumId="6">
    <w:nsid w:val="E49F178D"/>
    <w:multiLevelType w:val="singleLevel"/>
    <w:tmpl w:val="E49F178D"/>
    <w:lvl w:ilvl="0" w:tentative="0">
      <w:start w:val="1"/>
      <w:numFmt w:val="decimalEnclosedCircleChinese"/>
      <w:suff w:val="space"/>
      <w:lvlText w:val="%1"/>
      <w:lvlJc w:val="left"/>
      <w:pPr>
        <w:ind w:left="0" w:firstLine="480"/>
      </w:pPr>
      <w:rPr>
        <w:rFonts w:hint="eastAsia"/>
      </w:rPr>
    </w:lvl>
  </w:abstractNum>
  <w:abstractNum w:abstractNumId="7">
    <w:nsid w:val="E6D3058F"/>
    <w:multiLevelType w:val="singleLevel"/>
    <w:tmpl w:val="E6D3058F"/>
    <w:lvl w:ilvl="0" w:tentative="0">
      <w:start w:val="1"/>
      <w:numFmt w:val="decimal"/>
      <w:suff w:val="nothing"/>
      <w:lvlText w:val="%1、"/>
      <w:lvlJc w:val="left"/>
      <w:pPr>
        <w:ind w:left="0" w:firstLine="0"/>
      </w:pPr>
      <w:rPr>
        <w:rFonts w:hint="default"/>
      </w:rPr>
    </w:lvl>
  </w:abstractNum>
  <w:abstractNum w:abstractNumId="8">
    <w:nsid w:val="E846A7AD"/>
    <w:multiLevelType w:val="singleLevel"/>
    <w:tmpl w:val="E846A7AD"/>
    <w:lvl w:ilvl="0" w:tentative="0">
      <w:start w:val="1"/>
      <w:numFmt w:val="decimal"/>
      <w:suff w:val="nothing"/>
      <w:lvlText w:val="（%1）"/>
      <w:lvlJc w:val="left"/>
      <w:pPr>
        <w:ind w:left="0" w:firstLine="480"/>
      </w:pPr>
      <w:rPr>
        <w:rFonts w:hint="default"/>
      </w:rPr>
    </w:lvl>
  </w:abstractNum>
  <w:abstractNum w:abstractNumId="9">
    <w:nsid w:val="F43B3E6A"/>
    <w:multiLevelType w:val="singleLevel"/>
    <w:tmpl w:val="F43B3E6A"/>
    <w:lvl w:ilvl="0" w:tentative="0">
      <w:start w:val="1"/>
      <w:numFmt w:val="decimal"/>
      <w:suff w:val="nothing"/>
      <w:lvlText w:val="（%1）"/>
      <w:lvlJc w:val="left"/>
      <w:pPr>
        <w:ind w:left="0" w:firstLine="480"/>
      </w:pPr>
      <w:rPr>
        <w:rFonts w:hint="default"/>
      </w:rPr>
    </w:lvl>
  </w:abstractNum>
  <w:abstractNum w:abstractNumId="10">
    <w:nsid w:val="F885E71B"/>
    <w:multiLevelType w:val="singleLevel"/>
    <w:tmpl w:val="F885E71B"/>
    <w:lvl w:ilvl="0" w:tentative="0">
      <w:start w:val="1"/>
      <w:numFmt w:val="decimalEnclosedCircleChinese"/>
      <w:suff w:val="space"/>
      <w:lvlText w:val="%1"/>
      <w:lvlJc w:val="left"/>
      <w:pPr>
        <w:ind w:left="0" w:firstLine="480"/>
      </w:pPr>
      <w:rPr>
        <w:rFonts w:hint="eastAsia"/>
      </w:rPr>
    </w:lvl>
  </w:abstractNum>
  <w:abstractNum w:abstractNumId="11">
    <w:nsid w:val="FF782EAD"/>
    <w:multiLevelType w:val="singleLevel"/>
    <w:tmpl w:val="FF782EAD"/>
    <w:lvl w:ilvl="0" w:tentative="0">
      <w:start w:val="1"/>
      <w:numFmt w:val="chineseCounting"/>
      <w:suff w:val="nothing"/>
      <w:lvlText w:val="%1、"/>
      <w:lvlJc w:val="left"/>
      <w:pPr>
        <w:ind w:left="0" w:firstLine="0"/>
      </w:pPr>
      <w:rPr>
        <w:rFonts w:hint="eastAsia"/>
      </w:rPr>
    </w:lvl>
  </w:abstractNum>
  <w:abstractNum w:abstractNumId="12">
    <w:nsid w:val="0B08CBF8"/>
    <w:multiLevelType w:val="singleLevel"/>
    <w:tmpl w:val="0B08CBF8"/>
    <w:lvl w:ilvl="0" w:tentative="0">
      <w:start w:val="1"/>
      <w:numFmt w:val="decimal"/>
      <w:suff w:val="nothing"/>
      <w:lvlText w:val="%1、"/>
      <w:lvlJc w:val="left"/>
      <w:pPr>
        <w:ind w:left="0" w:firstLine="480"/>
      </w:pPr>
      <w:rPr>
        <w:rFonts w:hint="default"/>
      </w:rPr>
    </w:lvl>
  </w:abstractNum>
  <w:abstractNum w:abstractNumId="13">
    <w:nsid w:val="0E7E49ED"/>
    <w:multiLevelType w:val="singleLevel"/>
    <w:tmpl w:val="0E7E49ED"/>
    <w:lvl w:ilvl="0" w:tentative="0">
      <w:start w:val="1"/>
      <w:numFmt w:val="chineseCounting"/>
      <w:suff w:val="nothing"/>
      <w:lvlText w:val="%1、"/>
      <w:lvlJc w:val="left"/>
      <w:pPr>
        <w:ind w:left="0" w:firstLine="0"/>
      </w:pPr>
      <w:rPr>
        <w:rFonts w:hint="eastAsia"/>
      </w:rPr>
    </w:lvl>
  </w:abstractNum>
  <w:abstractNum w:abstractNumId="14">
    <w:nsid w:val="1FD1F303"/>
    <w:multiLevelType w:val="singleLevel"/>
    <w:tmpl w:val="1FD1F303"/>
    <w:lvl w:ilvl="0" w:tentative="0">
      <w:start w:val="1"/>
      <w:numFmt w:val="decimalEnclosedCircleChinese"/>
      <w:suff w:val="space"/>
      <w:lvlText w:val="%1"/>
      <w:lvlJc w:val="left"/>
      <w:pPr>
        <w:ind w:left="0" w:firstLine="480"/>
      </w:pPr>
      <w:rPr>
        <w:rFonts w:hint="eastAsia"/>
      </w:rPr>
    </w:lvl>
  </w:abstractNum>
  <w:abstractNum w:abstractNumId="15">
    <w:nsid w:val="3F9D2AC3"/>
    <w:multiLevelType w:val="singleLevel"/>
    <w:tmpl w:val="3F9D2AC3"/>
    <w:lvl w:ilvl="0" w:tentative="0">
      <w:start w:val="1"/>
      <w:numFmt w:val="decimalEnclosedCircleChinese"/>
      <w:suff w:val="space"/>
      <w:lvlText w:val="%1"/>
      <w:lvlJc w:val="left"/>
      <w:pPr>
        <w:ind w:left="0" w:firstLine="480"/>
      </w:pPr>
      <w:rPr>
        <w:rFonts w:hint="eastAsia"/>
      </w:rPr>
    </w:lvl>
  </w:abstractNum>
  <w:abstractNum w:abstractNumId="16">
    <w:nsid w:val="400B26B0"/>
    <w:multiLevelType w:val="singleLevel"/>
    <w:tmpl w:val="400B26B0"/>
    <w:lvl w:ilvl="0" w:tentative="0">
      <w:start w:val="1"/>
      <w:numFmt w:val="decimalEnclosedCircleChinese"/>
      <w:suff w:val="space"/>
      <w:lvlText w:val="%1"/>
      <w:lvlJc w:val="left"/>
      <w:pPr>
        <w:ind w:left="0" w:firstLine="480"/>
      </w:pPr>
      <w:rPr>
        <w:rFonts w:hint="eastAsia"/>
      </w:rPr>
    </w:lvl>
  </w:abstractNum>
  <w:abstractNum w:abstractNumId="17">
    <w:nsid w:val="41A2BC54"/>
    <w:multiLevelType w:val="singleLevel"/>
    <w:tmpl w:val="41A2BC54"/>
    <w:lvl w:ilvl="0" w:tentative="0">
      <w:start w:val="1"/>
      <w:numFmt w:val="decimalEnclosedCircleChinese"/>
      <w:suff w:val="space"/>
      <w:lvlText w:val="%1"/>
      <w:lvlJc w:val="left"/>
      <w:pPr>
        <w:ind w:left="0" w:firstLine="480"/>
      </w:pPr>
      <w:rPr>
        <w:rFonts w:hint="eastAsia"/>
      </w:rPr>
    </w:lvl>
  </w:abstractNum>
  <w:abstractNum w:abstractNumId="18">
    <w:nsid w:val="422E17C1"/>
    <w:multiLevelType w:val="singleLevel"/>
    <w:tmpl w:val="422E17C1"/>
    <w:lvl w:ilvl="0" w:tentative="0">
      <w:start w:val="1"/>
      <w:numFmt w:val="decimal"/>
      <w:suff w:val="nothing"/>
      <w:lvlText w:val="（%1）"/>
      <w:lvlJc w:val="left"/>
      <w:pPr>
        <w:ind w:left="0" w:firstLine="480"/>
      </w:pPr>
      <w:rPr>
        <w:rFonts w:hint="default"/>
      </w:rPr>
    </w:lvl>
  </w:abstractNum>
  <w:abstractNum w:abstractNumId="19">
    <w:nsid w:val="74EF01AD"/>
    <w:multiLevelType w:val="singleLevel"/>
    <w:tmpl w:val="74EF01AD"/>
    <w:lvl w:ilvl="0" w:tentative="0">
      <w:start w:val="1"/>
      <w:numFmt w:val="decimal"/>
      <w:suff w:val="space"/>
      <w:lvlText w:val="(%1)"/>
      <w:lvlJc w:val="left"/>
      <w:pPr>
        <w:ind w:left="0" w:firstLine="480"/>
      </w:pPr>
      <w:rPr>
        <w:rFonts w:hint="default"/>
      </w:rPr>
    </w:lvl>
  </w:abstractNum>
  <w:abstractNum w:abstractNumId="20">
    <w:nsid w:val="777AF6F8"/>
    <w:multiLevelType w:val="singleLevel"/>
    <w:tmpl w:val="777AF6F8"/>
    <w:lvl w:ilvl="0" w:tentative="0">
      <w:start w:val="1"/>
      <w:numFmt w:val="decimal"/>
      <w:suff w:val="nothing"/>
      <w:lvlText w:val="%1、"/>
      <w:lvlJc w:val="left"/>
      <w:pPr>
        <w:ind w:left="0" w:firstLine="480"/>
      </w:pPr>
      <w:rPr>
        <w:rFonts w:hint="default"/>
      </w:rPr>
    </w:lvl>
  </w:abstractNum>
  <w:num w:numId="1">
    <w:abstractNumId w:val="11"/>
  </w:num>
  <w:num w:numId="2">
    <w:abstractNumId w:val="7"/>
  </w:num>
  <w:num w:numId="3">
    <w:abstractNumId w:val="5"/>
  </w:num>
  <w:num w:numId="4">
    <w:abstractNumId w:val="0"/>
  </w:num>
  <w:num w:numId="5">
    <w:abstractNumId w:val="8"/>
  </w:num>
  <w:num w:numId="6">
    <w:abstractNumId w:val="12"/>
  </w:num>
  <w:num w:numId="7">
    <w:abstractNumId w:val="6"/>
  </w:num>
  <w:num w:numId="8">
    <w:abstractNumId w:val="14"/>
  </w:num>
  <w:num w:numId="9">
    <w:abstractNumId w:val="18"/>
  </w:num>
  <w:num w:numId="10">
    <w:abstractNumId w:val="9"/>
  </w:num>
  <w:num w:numId="11">
    <w:abstractNumId w:val="3"/>
  </w:num>
  <w:num w:numId="12">
    <w:abstractNumId w:val="10"/>
  </w:num>
  <w:num w:numId="13">
    <w:abstractNumId w:val="17"/>
  </w:num>
  <w:num w:numId="14">
    <w:abstractNumId w:val="2"/>
  </w:num>
  <w:num w:numId="15">
    <w:abstractNumId w:val="1"/>
  </w:num>
  <w:num w:numId="16">
    <w:abstractNumId w:val="16"/>
  </w:num>
  <w:num w:numId="17">
    <w:abstractNumId w:val="19"/>
  </w:num>
  <w:num w:numId="18">
    <w:abstractNumId w:val="15"/>
  </w:num>
  <w:num w:numId="19">
    <w:abstractNumId w:val="4"/>
  </w:num>
  <w:num w:numId="20">
    <w:abstractNumId w:val="13"/>
  </w:num>
  <w:num w:numId="2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60842DF"/>
    <w:rsid w:val="000F7C90"/>
    <w:rsid w:val="00317906"/>
    <w:rsid w:val="003F623C"/>
    <w:rsid w:val="004C6B47"/>
    <w:rsid w:val="00C3473E"/>
    <w:rsid w:val="00CB1E8A"/>
    <w:rsid w:val="00CE15D9"/>
    <w:rsid w:val="00D42FE3"/>
    <w:rsid w:val="00E22A9B"/>
    <w:rsid w:val="0166134F"/>
    <w:rsid w:val="017E7152"/>
    <w:rsid w:val="017F0465"/>
    <w:rsid w:val="017F12B1"/>
    <w:rsid w:val="018A2154"/>
    <w:rsid w:val="01A5196A"/>
    <w:rsid w:val="01C9049E"/>
    <w:rsid w:val="01D37B3A"/>
    <w:rsid w:val="01FC0047"/>
    <w:rsid w:val="02061FBE"/>
    <w:rsid w:val="020E5CD3"/>
    <w:rsid w:val="020F5E67"/>
    <w:rsid w:val="02136777"/>
    <w:rsid w:val="02281067"/>
    <w:rsid w:val="02293EE6"/>
    <w:rsid w:val="023B7DE7"/>
    <w:rsid w:val="023F6D3B"/>
    <w:rsid w:val="026838F6"/>
    <w:rsid w:val="026C5D6C"/>
    <w:rsid w:val="0274001A"/>
    <w:rsid w:val="027E19DE"/>
    <w:rsid w:val="02AD777B"/>
    <w:rsid w:val="02B2634A"/>
    <w:rsid w:val="02E17140"/>
    <w:rsid w:val="03076BD5"/>
    <w:rsid w:val="034D7F6A"/>
    <w:rsid w:val="035C0DCC"/>
    <w:rsid w:val="03726DB9"/>
    <w:rsid w:val="039B00CF"/>
    <w:rsid w:val="03B81B01"/>
    <w:rsid w:val="03FF0795"/>
    <w:rsid w:val="043D2310"/>
    <w:rsid w:val="047D1279"/>
    <w:rsid w:val="051D3E67"/>
    <w:rsid w:val="05303592"/>
    <w:rsid w:val="053F210B"/>
    <w:rsid w:val="05530257"/>
    <w:rsid w:val="056D3544"/>
    <w:rsid w:val="05724EBA"/>
    <w:rsid w:val="058A1EE0"/>
    <w:rsid w:val="059462B2"/>
    <w:rsid w:val="059A7E89"/>
    <w:rsid w:val="05FB69C9"/>
    <w:rsid w:val="060E7BBB"/>
    <w:rsid w:val="066648A3"/>
    <w:rsid w:val="067D5A1B"/>
    <w:rsid w:val="06AB673E"/>
    <w:rsid w:val="06C517FF"/>
    <w:rsid w:val="06D715C9"/>
    <w:rsid w:val="06F117F3"/>
    <w:rsid w:val="070829EF"/>
    <w:rsid w:val="07865947"/>
    <w:rsid w:val="07B261B1"/>
    <w:rsid w:val="07B44C59"/>
    <w:rsid w:val="07C32758"/>
    <w:rsid w:val="07D0170C"/>
    <w:rsid w:val="07E443FD"/>
    <w:rsid w:val="07E52249"/>
    <w:rsid w:val="08022BCD"/>
    <w:rsid w:val="080A09F0"/>
    <w:rsid w:val="08221514"/>
    <w:rsid w:val="082F791C"/>
    <w:rsid w:val="089C5A6B"/>
    <w:rsid w:val="08C85CA8"/>
    <w:rsid w:val="08CB0CE1"/>
    <w:rsid w:val="08DA3A9E"/>
    <w:rsid w:val="08E91DFE"/>
    <w:rsid w:val="08FB21D4"/>
    <w:rsid w:val="08FE0F95"/>
    <w:rsid w:val="094C57E5"/>
    <w:rsid w:val="096A7588"/>
    <w:rsid w:val="09782B80"/>
    <w:rsid w:val="09845E8F"/>
    <w:rsid w:val="0991031E"/>
    <w:rsid w:val="09925E5A"/>
    <w:rsid w:val="09A072EB"/>
    <w:rsid w:val="09A84EB5"/>
    <w:rsid w:val="09B43BB6"/>
    <w:rsid w:val="09FC511B"/>
    <w:rsid w:val="0A140DF4"/>
    <w:rsid w:val="0A202B47"/>
    <w:rsid w:val="0A374CA9"/>
    <w:rsid w:val="0A400AF3"/>
    <w:rsid w:val="0A614775"/>
    <w:rsid w:val="0AAA38F6"/>
    <w:rsid w:val="0AF21FBE"/>
    <w:rsid w:val="0AF754A0"/>
    <w:rsid w:val="0B512C7A"/>
    <w:rsid w:val="0B7937E6"/>
    <w:rsid w:val="0B794D27"/>
    <w:rsid w:val="0B873505"/>
    <w:rsid w:val="0B9140E3"/>
    <w:rsid w:val="0BB17D39"/>
    <w:rsid w:val="0BC4106E"/>
    <w:rsid w:val="0BC60EC7"/>
    <w:rsid w:val="0BD85BE5"/>
    <w:rsid w:val="0BE30A53"/>
    <w:rsid w:val="0C0C2994"/>
    <w:rsid w:val="0C2A03B4"/>
    <w:rsid w:val="0C4F22F8"/>
    <w:rsid w:val="0C5E55DA"/>
    <w:rsid w:val="0C655979"/>
    <w:rsid w:val="0C713B36"/>
    <w:rsid w:val="0C7F7963"/>
    <w:rsid w:val="0C8D4E3F"/>
    <w:rsid w:val="0C900895"/>
    <w:rsid w:val="0CDC78AA"/>
    <w:rsid w:val="0CF3269A"/>
    <w:rsid w:val="0D0975AD"/>
    <w:rsid w:val="0D194FB8"/>
    <w:rsid w:val="0D1C375A"/>
    <w:rsid w:val="0D1D4026"/>
    <w:rsid w:val="0D210953"/>
    <w:rsid w:val="0D212167"/>
    <w:rsid w:val="0D6A25B6"/>
    <w:rsid w:val="0D9313CA"/>
    <w:rsid w:val="0D9D0544"/>
    <w:rsid w:val="0D9E059F"/>
    <w:rsid w:val="0DA912E2"/>
    <w:rsid w:val="0DAC1C08"/>
    <w:rsid w:val="0DB51C8D"/>
    <w:rsid w:val="0DD57404"/>
    <w:rsid w:val="0DE07AD3"/>
    <w:rsid w:val="0E686A53"/>
    <w:rsid w:val="0EA029F1"/>
    <w:rsid w:val="0EB51EF2"/>
    <w:rsid w:val="0F0B59AA"/>
    <w:rsid w:val="0F0C4380"/>
    <w:rsid w:val="0F124009"/>
    <w:rsid w:val="0F184942"/>
    <w:rsid w:val="0F3E6917"/>
    <w:rsid w:val="0F47605E"/>
    <w:rsid w:val="0F60092E"/>
    <w:rsid w:val="0F993FC0"/>
    <w:rsid w:val="0F9A0A77"/>
    <w:rsid w:val="0FAB0FA3"/>
    <w:rsid w:val="0FB123B4"/>
    <w:rsid w:val="0FD835C4"/>
    <w:rsid w:val="0FED031E"/>
    <w:rsid w:val="0FF57A6F"/>
    <w:rsid w:val="10026A07"/>
    <w:rsid w:val="100F6447"/>
    <w:rsid w:val="10480E2B"/>
    <w:rsid w:val="10AD5AA1"/>
    <w:rsid w:val="10CE4317"/>
    <w:rsid w:val="10CF2747"/>
    <w:rsid w:val="10E10A78"/>
    <w:rsid w:val="10F62023"/>
    <w:rsid w:val="111A4A48"/>
    <w:rsid w:val="112D5B2F"/>
    <w:rsid w:val="11590675"/>
    <w:rsid w:val="116B2579"/>
    <w:rsid w:val="118F225E"/>
    <w:rsid w:val="11A86161"/>
    <w:rsid w:val="11AA7634"/>
    <w:rsid w:val="12061CDF"/>
    <w:rsid w:val="12360391"/>
    <w:rsid w:val="12773783"/>
    <w:rsid w:val="12824956"/>
    <w:rsid w:val="12960F9B"/>
    <w:rsid w:val="12AE1DB5"/>
    <w:rsid w:val="12C56B0A"/>
    <w:rsid w:val="12CA2A6B"/>
    <w:rsid w:val="12DC0D1B"/>
    <w:rsid w:val="12ED6FE6"/>
    <w:rsid w:val="13181E67"/>
    <w:rsid w:val="13242B99"/>
    <w:rsid w:val="133B1401"/>
    <w:rsid w:val="136A520B"/>
    <w:rsid w:val="13CC2A43"/>
    <w:rsid w:val="13F87895"/>
    <w:rsid w:val="13FA20D0"/>
    <w:rsid w:val="141A3DCC"/>
    <w:rsid w:val="14472DBD"/>
    <w:rsid w:val="1461174C"/>
    <w:rsid w:val="1498444F"/>
    <w:rsid w:val="14FE60DD"/>
    <w:rsid w:val="150822D2"/>
    <w:rsid w:val="152F7BC0"/>
    <w:rsid w:val="15445364"/>
    <w:rsid w:val="156D2443"/>
    <w:rsid w:val="15834860"/>
    <w:rsid w:val="159B5B2B"/>
    <w:rsid w:val="15B2091A"/>
    <w:rsid w:val="15CC3165"/>
    <w:rsid w:val="15FD47BC"/>
    <w:rsid w:val="163E341F"/>
    <w:rsid w:val="1648194C"/>
    <w:rsid w:val="164E6C57"/>
    <w:rsid w:val="166A76F3"/>
    <w:rsid w:val="166B6AB1"/>
    <w:rsid w:val="167573D2"/>
    <w:rsid w:val="16A3679C"/>
    <w:rsid w:val="16AA0A2D"/>
    <w:rsid w:val="16CE0938"/>
    <w:rsid w:val="17137842"/>
    <w:rsid w:val="174557B1"/>
    <w:rsid w:val="179C0B2D"/>
    <w:rsid w:val="17C203A2"/>
    <w:rsid w:val="17DC375C"/>
    <w:rsid w:val="17F26E66"/>
    <w:rsid w:val="17FC27F4"/>
    <w:rsid w:val="181F44D1"/>
    <w:rsid w:val="18591D40"/>
    <w:rsid w:val="1861405A"/>
    <w:rsid w:val="18625E8A"/>
    <w:rsid w:val="18777CB5"/>
    <w:rsid w:val="188F2439"/>
    <w:rsid w:val="188F422F"/>
    <w:rsid w:val="18F65B1A"/>
    <w:rsid w:val="1929590E"/>
    <w:rsid w:val="19455241"/>
    <w:rsid w:val="196C33F2"/>
    <w:rsid w:val="199043E9"/>
    <w:rsid w:val="19B024C7"/>
    <w:rsid w:val="19C23B2C"/>
    <w:rsid w:val="19E61779"/>
    <w:rsid w:val="19EC76BA"/>
    <w:rsid w:val="1A0F5C97"/>
    <w:rsid w:val="1A2D6ACA"/>
    <w:rsid w:val="1A2F4470"/>
    <w:rsid w:val="1A302B08"/>
    <w:rsid w:val="1A8A0798"/>
    <w:rsid w:val="1A8C7E2D"/>
    <w:rsid w:val="1AB57F8A"/>
    <w:rsid w:val="1ABA1E17"/>
    <w:rsid w:val="1AC845C2"/>
    <w:rsid w:val="1ACD7F56"/>
    <w:rsid w:val="1AD04360"/>
    <w:rsid w:val="1B6D1385"/>
    <w:rsid w:val="1BB802BF"/>
    <w:rsid w:val="1BBD7572"/>
    <w:rsid w:val="1BBE5422"/>
    <w:rsid w:val="1C097FE5"/>
    <w:rsid w:val="1C1F0E0C"/>
    <w:rsid w:val="1C3217FD"/>
    <w:rsid w:val="1CA71AE6"/>
    <w:rsid w:val="1CC6153E"/>
    <w:rsid w:val="1CD10D86"/>
    <w:rsid w:val="1CD37FEF"/>
    <w:rsid w:val="1D037C1E"/>
    <w:rsid w:val="1D1B6746"/>
    <w:rsid w:val="1D272110"/>
    <w:rsid w:val="1D296BF8"/>
    <w:rsid w:val="1D566D7F"/>
    <w:rsid w:val="1D7724E1"/>
    <w:rsid w:val="1D9E1C91"/>
    <w:rsid w:val="1DA307A2"/>
    <w:rsid w:val="1DA66FD3"/>
    <w:rsid w:val="1DAB13B8"/>
    <w:rsid w:val="1DC60C56"/>
    <w:rsid w:val="1DDC2FF3"/>
    <w:rsid w:val="1DDE5DCA"/>
    <w:rsid w:val="1DE43AD8"/>
    <w:rsid w:val="1E3A7E8F"/>
    <w:rsid w:val="1E554CDD"/>
    <w:rsid w:val="1E732B6F"/>
    <w:rsid w:val="1E863FD7"/>
    <w:rsid w:val="1EA348ED"/>
    <w:rsid w:val="1EBB1886"/>
    <w:rsid w:val="1EC83CFA"/>
    <w:rsid w:val="1EE12E33"/>
    <w:rsid w:val="1F1F7E28"/>
    <w:rsid w:val="1F293B0E"/>
    <w:rsid w:val="1F3D7506"/>
    <w:rsid w:val="1F57513A"/>
    <w:rsid w:val="1F5E37DE"/>
    <w:rsid w:val="1F797F3C"/>
    <w:rsid w:val="1F841DEF"/>
    <w:rsid w:val="1FF6718E"/>
    <w:rsid w:val="2020609C"/>
    <w:rsid w:val="20294C8B"/>
    <w:rsid w:val="204179A1"/>
    <w:rsid w:val="20651FB0"/>
    <w:rsid w:val="206926C8"/>
    <w:rsid w:val="208218F8"/>
    <w:rsid w:val="209B342A"/>
    <w:rsid w:val="20DB2F51"/>
    <w:rsid w:val="210708D7"/>
    <w:rsid w:val="212B48DB"/>
    <w:rsid w:val="216318CA"/>
    <w:rsid w:val="216C7513"/>
    <w:rsid w:val="21A33FB8"/>
    <w:rsid w:val="21BA7CB0"/>
    <w:rsid w:val="21CE5AE5"/>
    <w:rsid w:val="21D86EE8"/>
    <w:rsid w:val="21DB762B"/>
    <w:rsid w:val="22444602"/>
    <w:rsid w:val="225A10F3"/>
    <w:rsid w:val="226C63B5"/>
    <w:rsid w:val="22887068"/>
    <w:rsid w:val="229A5C8E"/>
    <w:rsid w:val="22A2463A"/>
    <w:rsid w:val="22E76C47"/>
    <w:rsid w:val="22F665AB"/>
    <w:rsid w:val="230925B3"/>
    <w:rsid w:val="230C371C"/>
    <w:rsid w:val="23117DB8"/>
    <w:rsid w:val="233C4971"/>
    <w:rsid w:val="23827AAF"/>
    <w:rsid w:val="23AD03B1"/>
    <w:rsid w:val="23B06F75"/>
    <w:rsid w:val="23D955CF"/>
    <w:rsid w:val="23DE583B"/>
    <w:rsid w:val="23E96B81"/>
    <w:rsid w:val="23F16A99"/>
    <w:rsid w:val="23F572C5"/>
    <w:rsid w:val="23FC6DF6"/>
    <w:rsid w:val="2420674A"/>
    <w:rsid w:val="24AF0BB5"/>
    <w:rsid w:val="24B43154"/>
    <w:rsid w:val="24BF05E4"/>
    <w:rsid w:val="24F447EB"/>
    <w:rsid w:val="25563FD5"/>
    <w:rsid w:val="25831AAE"/>
    <w:rsid w:val="25CB14FC"/>
    <w:rsid w:val="25D24D58"/>
    <w:rsid w:val="25D36F6F"/>
    <w:rsid w:val="25D555F9"/>
    <w:rsid w:val="25E06858"/>
    <w:rsid w:val="25E25CB3"/>
    <w:rsid w:val="25E53E74"/>
    <w:rsid w:val="2601279B"/>
    <w:rsid w:val="261167AE"/>
    <w:rsid w:val="263D4C7C"/>
    <w:rsid w:val="26756205"/>
    <w:rsid w:val="26C00442"/>
    <w:rsid w:val="26FF3736"/>
    <w:rsid w:val="27287B8B"/>
    <w:rsid w:val="27442148"/>
    <w:rsid w:val="2747211F"/>
    <w:rsid w:val="274B3EEA"/>
    <w:rsid w:val="2763288F"/>
    <w:rsid w:val="276C7B30"/>
    <w:rsid w:val="2785789A"/>
    <w:rsid w:val="280918AC"/>
    <w:rsid w:val="2830773E"/>
    <w:rsid w:val="287E51D8"/>
    <w:rsid w:val="288206D5"/>
    <w:rsid w:val="28880F96"/>
    <w:rsid w:val="2893635C"/>
    <w:rsid w:val="29100A92"/>
    <w:rsid w:val="295F0219"/>
    <w:rsid w:val="29C83B92"/>
    <w:rsid w:val="2A051554"/>
    <w:rsid w:val="2A126776"/>
    <w:rsid w:val="2A133422"/>
    <w:rsid w:val="2A2E303A"/>
    <w:rsid w:val="2A512105"/>
    <w:rsid w:val="2A670ABA"/>
    <w:rsid w:val="2AA95C2A"/>
    <w:rsid w:val="2ABE4E4C"/>
    <w:rsid w:val="2AE40BC3"/>
    <w:rsid w:val="2B115708"/>
    <w:rsid w:val="2B28326F"/>
    <w:rsid w:val="2B5744CC"/>
    <w:rsid w:val="2B6E0D08"/>
    <w:rsid w:val="2B7023B5"/>
    <w:rsid w:val="2BB42B9E"/>
    <w:rsid w:val="2BCF3BFA"/>
    <w:rsid w:val="2BFF2D62"/>
    <w:rsid w:val="2C0400EE"/>
    <w:rsid w:val="2C08315B"/>
    <w:rsid w:val="2C185530"/>
    <w:rsid w:val="2C270D2B"/>
    <w:rsid w:val="2C330F90"/>
    <w:rsid w:val="2C473ED7"/>
    <w:rsid w:val="2C5447E1"/>
    <w:rsid w:val="2CCD1789"/>
    <w:rsid w:val="2CD8363A"/>
    <w:rsid w:val="2CF71935"/>
    <w:rsid w:val="2CFE71C3"/>
    <w:rsid w:val="2D2C3C55"/>
    <w:rsid w:val="2D8C171D"/>
    <w:rsid w:val="2DA10A47"/>
    <w:rsid w:val="2DAE0963"/>
    <w:rsid w:val="2DB06DF5"/>
    <w:rsid w:val="2DB67FEA"/>
    <w:rsid w:val="2DD32A0C"/>
    <w:rsid w:val="2DD50480"/>
    <w:rsid w:val="2DEE01F2"/>
    <w:rsid w:val="2E0E5AFF"/>
    <w:rsid w:val="2E3E36A8"/>
    <w:rsid w:val="2E431B36"/>
    <w:rsid w:val="2E4776E5"/>
    <w:rsid w:val="2E5A0AA0"/>
    <w:rsid w:val="2E8524DC"/>
    <w:rsid w:val="2E8C2B85"/>
    <w:rsid w:val="2EF914A8"/>
    <w:rsid w:val="2EFB119A"/>
    <w:rsid w:val="2EFF047D"/>
    <w:rsid w:val="2F094C75"/>
    <w:rsid w:val="2F0A7106"/>
    <w:rsid w:val="2F464330"/>
    <w:rsid w:val="2F7F4DC9"/>
    <w:rsid w:val="2FBE6EAD"/>
    <w:rsid w:val="2FBF7081"/>
    <w:rsid w:val="3026083E"/>
    <w:rsid w:val="303B0506"/>
    <w:rsid w:val="30637748"/>
    <w:rsid w:val="30873A0D"/>
    <w:rsid w:val="30AF79A8"/>
    <w:rsid w:val="30E06CD6"/>
    <w:rsid w:val="30FB46E5"/>
    <w:rsid w:val="31511288"/>
    <w:rsid w:val="31747E7D"/>
    <w:rsid w:val="317C455D"/>
    <w:rsid w:val="31812EED"/>
    <w:rsid w:val="31814D5E"/>
    <w:rsid w:val="31C75335"/>
    <w:rsid w:val="32054FE1"/>
    <w:rsid w:val="322B44D0"/>
    <w:rsid w:val="32C446F2"/>
    <w:rsid w:val="32E34EEF"/>
    <w:rsid w:val="32ED3337"/>
    <w:rsid w:val="331F13C4"/>
    <w:rsid w:val="33300458"/>
    <w:rsid w:val="33467C02"/>
    <w:rsid w:val="3364070B"/>
    <w:rsid w:val="33787AF9"/>
    <w:rsid w:val="337923F3"/>
    <w:rsid w:val="33807AAD"/>
    <w:rsid w:val="340624BA"/>
    <w:rsid w:val="343633AC"/>
    <w:rsid w:val="34585037"/>
    <w:rsid w:val="34837399"/>
    <w:rsid w:val="34B02E60"/>
    <w:rsid w:val="34B6329D"/>
    <w:rsid w:val="34C86C27"/>
    <w:rsid w:val="34C872C0"/>
    <w:rsid w:val="34CE1E33"/>
    <w:rsid w:val="352C47DF"/>
    <w:rsid w:val="354816EA"/>
    <w:rsid w:val="355A3218"/>
    <w:rsid w:val="357B42FC"/>
    <w:rsid w:val="35A105C8"/>
    <w:rsid w:val="35B13B15"/>
    <w:rsid w:val="35C10222"/>
    <w:rsid w:val="35D40041"/>
    <w:rsid w:val="35E3294C"/>
    <w:rsid w:val="35E41322"/>
    <w:rsid w:val="35EE00C9"/>
    <w:rsid w:val="360328E3"/>
    <w:rsid w:val="3615071C"/>
    <w:rsid w:val="361E6653"/>
    <w:rsid w:val="36864F88"/>
    <w:rsid w:val="368C4E70"/>
    <w:rsid w:val="369B7831"/>
    <w:rsid w:val="369C39B4"/>
    <w:rsid w:val="36AA2A51"/>
    <w:rsid w:val="36D5371E"/>
    <w:rsid w:val="3706330B"/>
    <w:rsid w:val="37363CFE"/>
    <w:rsid w:val="377650EC"/>
    <w:rsid w:val="37862DB1"/>
    <w:rsid w:val="379A7F12"/>
    <w:rsid w:val="37CC159A"/>
    <w:rsid w:val="37D76527"/>
    <w:rsid w:val="37F7166F"/>
    <w:rsid w:val="38B92427"/>
    <w:rsid w:val="38BF452D"/>
    <w:rsid w:val="38D71DE4"/>
    <w:rsid w:val="38E40350"/>
    <w:rsid w:val="39040F8F"/>
    <w:rsid w:val="391452C2"/>
    <w:rsid w:val="39187BD6"/>
    <w:rsid w:val="39445706"/>
    <w:rsid w:val="397B605E"/>
    <w:rsid w:val="399F2DA8"/>
    <w:rsid w:val="39B7013A"/>
    <w:rsid w:val="3A30267D"/>
    <w:rsid w:val="3AE14369"/>
    <w:rsid w:val="3B14416A"/>
    <w:rsid w:val="3B374AB8"/>
    <w:rsid w:val="3B4C22A4"/>
    <w:rsid w:val="3B7E18B4"/>
    <w:rsid w:val="3B815C38"/>
    <w:rsid w:val="3BCD38E3"/>
    <w:rsid w:val="3BDD0B08"/>
    <w:rsid w:val="3BE922D0"/>
    <w:rsid w:val="3BEF6970"/>
    <w:rsid w:val="3C2C0C27"/>
    <w:rsid w:val="3C365D50"/>
    <w:rsid w:val="3C4E2E2C"/>
    <w:rsid w:val="3C811F10"/>
    <w:rsid w:val="3C94067C"/>
    <w:rsid w:val="3CA931D0"/>
    <w:rsid w:val="3CAE5B9B"/>
    <w:rsid w:val="3CF27253"/>
    <w:rsid w:val="3D0D75E7"/>
    <w:rsid w:val="3D1C0AA2"/>
    <w:rsid w:val="3D1E3E38"/>
    <w:rsid w:val="3D316FF2"/>
    <w:rsid w:val="3D3A089E"/>
    <w:rsid w:val="3D421340"/>
    <w:rsid w:val="3D59776C"/>
    <w:rsid w:val="3D847088"/>
    <w:rsid w:val="3DB25151"/>
    <w:rsid w:val="3DEC6A44"/>
    <w:rsid w:val="3E4B05B1"/>
    <w:rsid w:val="3ED172AF"/>
    <w:rsid w:val="3EEC5F5D"/>
    <w:rsid w:val="3F0C5790"/>
    <w:rsid w:val="3F117CD4"/>
    <w:rsid w:val="3F217E02"/>
    <w:rsid w:val="3F3A76C2"/>
    <w:rsid w:val="3F69270F"/>
    <w:rsid w:val="3F9844DA"/>
    <w:rsid w:val="3FB57260"/>
    <w:rsid w:val="3FBB3A1D"/>
    <w:rsid w:val="3FD47F77"/>
    <w:rsid w:val="3FFC0FC5"/>
    <w:rsid w:val="3FFD3984"/>
    <w:rsid w:val="401C463E"/>
    <w:rsid w:val="403B3F8E"/>
    <w:rsid w:val="4056755B"/>
    <w:rsid w:val="406662DA"/>
    <w:rsid w:val="408222C5"/>
    <w:rsid w:val="40D02FFE"/>
    <w:rsid w:val="40DA03CB"/>
    <w:rsid w:val="41363F8B"/>
    <w:rsid w:val="413E1FA8"/>
    <w:rsid w:val="41515895"/>
    <w:rsid w:val="415F1D72"/>
    <w:rsid w:val="416E4C07"/>
    <w:rsid w:val="41AD5548"/>
    <w:rsid w:val="41CD36F0"/>
    <w:rsid w:val="41F20E7A"/>
    <w:rsid w:val="42034DBB"/>
    <w:rsid w:val="420B6BDE"/>
    <w:rsid w:val="42427104"/>
    <w:rsid w:val="426248B5"/>
    <w:rsid w:val="4288787C"/>
    <w:rsid w:val="42EB1334"/>
    <w:rsid w:val="430459B0"/>
    <w:rsid w:val="4316401B"/>
    <w:rsid w:val="435719DC"/>
    <w:rsid w:val="43611532"/>
    <w:rsid w:val="43726EE8"/>
    <w:rsid w:val="43820F91"/>
    <w:rsid w:val="439E40A2"/>
    <w:rsid w:val="43D71DB3"/>
    <w:rsid w:val="442A6DE2"/>
    <w:rsid w:val="44481FD2"/>
    <w:rsid w:val="44B10E93"/>
    <w:rsid w:val="44FF1756"/>
    <w:rsid w:val="45334EF2"/>
    <w:rsid w:val="45817C8D"/>
    <w:rsid w:val="45A774D5"/>
    <w:rsid w:val="45BA39DA"/>
    <w:rsid w:val="45EA12DF"/>
    <w:rsid w:val="460842DF"/>
    <w:rsid w:val="4614058D"/>
    <w:rsid w:val="46581AB3"/>
    <w:rsid w:val="466032D6"/>
    <w:rsid w:val="466C4FCD"/>
    <w:rsid w:val="4687397F"/>
    <w:rsid w:val="469256A2"/>
    <w:rsid w:val="46935B50"/>
    <w:rsid w:val="46A77164"/>
    <w:rsid w:val="46D25FD9"/>
    <w:rsid w:val="46D7167B"/>
    <w:rsid w:val="470E7E52"/>
    <w:rsid w:val="471A531C"/>
    <w:rsid w:val="473A54F3"/>
    <w:rsid w:val="47482052"/>
    <w:rsid w:val="47744A61"/>
    <w:rsid w:val="478B2F07"/>
    <w:rsid w:val="47CC743D"/>
    <w:rsid w:val="47EA2599"/>
    <w:rsid w:val="48045BD7"/>
    <w:rsid w:val="480604B4"/>
    <w:rsid w:val="480A2EDD"/>
    <w:rsid w:val="481C7131"/>
    <w:rsid w:val="482F7112"/>
    <w:rsid w:val="48857778"/>
    <w:rsid w:val="48B87B1D"/>
    <w:rsid w:val="48BA733D"/>
    <w:rsid w:val="48D418A5"/>
    <w:rsid w:val="48DC7999"/>
    <w:rsid w:val="48E629B3"/>
    <w:rsid w:val="492A69A7"/>
    <w:rsid w:val="49367E6A"/>
    <w:rsid w:val="494924DB"/>
    <w:rsid w:val="494A6946"/>
    <w:rsid w:val="49DA2A33"/>
    <w:rsid w:val="4A2067DA"/>
    <w:rsid w:val="4A2635F6"/>
    <w:rsid w:val="4A3B013C"/>
    <w:rsid w:val="4A45194A"/>
    <w:rsid w:val="4A680D80"/>
    <w:rsid w:val="4A754553"/>
    <w:rsid w:val="4A7B45FA"/>
    <w:rsid w:val="4A8053FA"/>
    <w:rsid w:val="4AB93E01"/>
    <w:rsid w:val="4B1E5820"/>
    <w:rsid w:val="4B296E11"/>
    <w:rsid w:val="4B68539D"/>
    <w:rsid w:val="4B6D56D5"/>
    <w:rsid w:val="4B7C0B03"/>
    <w:rsid w:val="4B8275D9"/>
    <w:rsid w:val="4B97286A"/>
    <w:rsid w:val="4BAC4C8A"/>
    <w:rsid w:val="4BB63FBD"/>
    <w:rsid w:val="4BFC3AC3"/>
    <w:rsid w:val="4C2A37B6"/>
    <w:rsid w:val="4C5563B7"/>
    <w:rsid w:val="4C822023"/>
    <w:rsid w:val="4C872186"/>
    <w:rsid w:val="4CA55F0E"/>
    <w:rsid w:val="4CE57E5D"/>
    <w:rsid w:val="4CFB50A3"/>
    <w:rsid w:val="4D0E77C5"/>
    <w:rsid w:val="4D1A26E6"/>
    <w:rsid w:val="4D5B63D6"/>
    <w:rsid w:val="4D7F1E2A"/>
    <w:rsid w:val="4D974013"/>
    <w:rsid w:val="4D975C54"/>
    <w:rsid w:val="4E8C24C4"/>
    <w:rsid w:val="4EA610A4"/>
    <w:rsid w:val="4EB42DC9"/>
    <w:rsid w:val="4EB55CF2"/>
    <w:rsid w:val="4EBA2A94"/>
    <w:rsid w:val="4EC65953"/>
    <w:rsid w:val="4F9D18DC"/>
    <w:rsid w:val="4FFA0B5A"/>
    <w:rsid w:val="4FFE2ED0"/>
    <w:rsid w:val="501410A0"/>
    <w:rsid w:val="505173E3"/>
    <w:rsid w:val="506371AE"/>
    <w:rsid w:val="506C08F1"/>
    <w:rsid w:val="50721D8B"/>
    <w:rsid w:val="508018AE"/>
    <w:rsid w:val="50B6761B"/>
    <w:rsid w:val="50BA1C50"/>
    <w:rsid w:val="50C66D5F"/>
    <w:rsid w:val="50D24918"/>
    <w:rsid w:val="50EF0370"/>
    <w:rsid w:val="51175177"/>
    <w:rsid w:val="5126234F"/>
    <w:rsid w:val="51527FBF"/>
    <w:rsid w:val="515F42F7"/>
    <w:rsid w:val="51615797"/>
    <w:rsid w:val="51AF6BBD"/>
    <w:rsid w:val="51C116D9"/>
    <w:rsid w:val="523636A9"/>
    <w:rsid w:val="52807273"/>
    <w:rsid w:val="52851B4A"/>
    <w:rsid w:val="52AC1C51"/>
    <w:rsid w:val="52B84DE9"/>
    <w:rsid w:val="535269C9"/>
    <w:rsid w:val="53535B1C"/>
    <w:rsid w:val="53563555"/>
    <w:rsid w:val="53836C65"/>
    <w:rsid w:val="538E51B6"/>
    <w:rsid w:val="5397436E"/>
    <w:rsid w:val="53A02878"/>
    <w:rsid w:val="53C826F7"/>
    <w:rsid w:val="54203387"/>
    <w:rsid w:val="542C5FD4"/>
    <w:rsid w:val="546752F8"/>
    <w:rsid w:val="546D2DCE"/>
    <w:rsid w:val="549E1786"/>
    <w:rsid w:val="54E73024"/>
    <w:rsid w:val="550202FE"/>
    <w:rsid w:val="55062A58"/>
    <w:rsid w:val="551443AA"/>
    <w:rsid w:val="55217739"/>
    <w:rsid w:val="55394B25"/>
    <w:rsid w:val="55451DB3"/>
    <w:rsid w:val="554A789C"/>
    <w:rsid w:val="55990428"/>
    <w:rsid w:val="55A43DF2"/>
    <w:rsid w:val="55B629C0"/>
    <w:rsid w:val="561833DF"/>
    <w:rsid w:val="562A05A5"/>
    <w:rsid w:val="563606D7"/>
    <w:rsid w:val="5657732D"/>
    <w:rsid w:val="56616930"/>
    <w:rsid w:val="56A24857"/>
    <w:rsid w:val="56DB4C2B"/>
    <w:rsid w:val="56EB7C73"/>
    <w:rsid w:val="57000BC2"/>
    <w:rsid w:val="570D63CE"/>
    <w:rsid w:val="573718EE"/>
    <w:rsid w:val="574E2A84"/>
    <w:rsid w:val="57631478"/>
    <w:rsid w:val="57C843B9"/>
    <w:rsid w:val="57D80EF2"/>
    <w:rsid w:val="57F53E48"/>
    <w:rsid w:val="57F70C83"/>
    <w:rsid w:val="58121EC5"/>
    <w:rsid w:val="582E539F"/>
    <w:rsid w:val="583178FD"/>
    <w:rsid w:val="587A2E3B"/>
    <w:rsid w:val="587D7AA0"/>
    <w:rsid w:val="58830AF3"/>
    <w:rsid w:val="588725A2"/>
    <w:rsid w:val="58962DB0"/>
    <w:rsid w:val="58AE4DA7"/>
    <w:rsid w:val="58D10D47"/>
    <w:rsid w:val="58D86411"/>
    <w:rsid w:val="58D90574"/>
    <w:rsid w:val="58DD3842"/>
    <w:rsid w:val="59095BFE"/>
    <w:rsid w:val="5970425B"/>
    <w:rsid w:val="5994612F"/>
    <w:rsid w:val="599E7457"/>
    <w:rsid w:val="59AD5C99"/>
    <w:rsid w:val="59CB6627"/>
    <w:rsid w:val="59ED0B89"/>
    <w:rsid w:val="59EF7635"/>
    <w:rsid w:val="5A4F2DC7"/>
    <w:rsid w:val="5A555ECC"/>
    <w:rsid w:val="5A966980"/>
    <w:rsid w:val="5AB61513"/>
    <w:rsid w:val="5B027921"/>
    <w:rsid w:val="5B5C1ADA"/>
    <w:rsid w:val="5C45759A"/>
    <w:rsid w:val="5C6B60C3"/>
    <w:rsid w:val="5C932481"/>
    <w:rsid w:val="5CCD6FA5"/>
    <w:rsid w:val="5CE43A12"/>
    <w:rsid w:val="5D223C42"/>
    <w:rsid w:val="5D6A2EAB"/>
    <w:rsid w:val="5D6D2AEC"/>
    <w:rsid w:val="5D9F6D51"/>
    <w:rsid w:val="5DC47BB1"/>
    <w:rsid w:val="5DC7688B"/>
    <w:rsid w:val="5DD944BC"/>
    <w:rsid w:val="5EAF2E0F"/>
    <w:rsid w:val="5EAF79F8"/>
    <w:rsid w:val="5ECD3852"/>
    <w:rsid w:val="5EDA1D08"/>
    <w:rsid w:val="5EEA6698"/>
    <w:rsid w:val="5F106E48"/>
    <w:rsid w:val="5F1262BE"/>
    <w:rsid w:val="5F32629F"/>
    <w:rsid w:val="5F544527"/>
    <w:rsid w:val="5F5F505A"/>
    <w:rsid w:val="5F6623F9"/>
    <w:rsid w:val="5F9D6B15"/>
    <w:rsid w:val="5FB76E35"/>
    <w:rsid w:val="600B25F7"/>
    <w:rsid w:val="60186ABD"/>
    <w:rsid w:val="6027221D"/>
    <w:rsid w:val="60394632"/>
    <w:rsid w:val="604C4D97"/>
    <w:rsid w:val="60871FAB"/>
    <w:rsid w:val="6088789D"/>
    <w:rsid w:val="61092BFB"/>
    <w:rsid w:val="61510C3A"/>
    <w:rsid w:val="615511C0"/>
    <w:rsid w:val="617920AF"/>
    <w:rsid w:val="61803C99"/>
    <w:rsid w:val="618823E9"/>
    <w:rsid w:val="618B5340"/>
    <w:rsid w:val="618C6B77"/>
    <w:rsid w:val="61924CB0"/>
    <w:rsid w:val="61A7708B"/>
    <w:rsid w:val="61AD171F"/>
    <w:rsid w:val="61AE53C3"/>
    <w:rsid w:val="61C30A4E"/>
    <w:rsid w:val="61E40ECE"/>
    <w:rsid w:val="62221F15"/>
    <w:rsid w:val="62632A65"/>
    <w:rsid w:val="62814DA6"/>
    <w:rsid w:val="628525AC"/>
    <w:rsid w:val="62BD2AAE"/>
    <w:rsid w:val="62D44FCA"/>
    <w:rsid w:val="62FC1B96"/>
    <w:rsid w:val="635B7EC3"/>
    <w:rsid w:val="63825DDE"/>
    <w:rsid w:val="638F2B40"/>
    <w:rsid w:val="63E12F9D"/>
    <w:rsid w:val="642B6B6C"/>
    <w:rsid w:val="64B65EE0"/>
    <w:rsid w:val="64BE20E2"/>
    <w:rsid w:val="64EB5EF0"/>
    <w:rsid w:val="65122C02"/>
    <w:rsid w:val="65316C22"/>
    <w:rsid w:val="655A5C14"/>
    <w:rsid w:val="6580589A"/>
    <w:rsid w:val="65A928BB"/>
    <w:rsid w:val="65FA248A"/>
    <w:rsid w:val="66032116"/>
    <w:rsid w:val="66033DAF"/>
    <w:rsid w:val="66093C62"/>
    <w:rsid w:val="66127CD0"/>
    <w:rsid w:val="6626067F"/>
    <w:rsid w:val="662A0AC0"/>
    <w:rsid w:val="664E038D"/>
    <w:rsid w:val="664F0B0B"/>
    <w:rsid w:val="66531C47"/>
    <w:rsid w:val="668966D9"/>
    <w:rsid w:val="66901CE5"/>
    <w:rsid w:val="66B64325"/>
    <w:rsid w:val="66C116A5"/>
    <w:rsid w:val="66C517AD"/>
    <w:rsid w:val="66D55DF6"/>
    <w:rsid w:val="66DA2BE2"/>
    <w:rsid w:val="67002497"/>
    <w:rsid w:val="67161718"/>
    <w:rsid w:val="672D5B03"/>
    <w:rsid w:val="6765643B"/>
    <w:rsid w:val="677E403C"/>
    <w:rsid w:val="67A5187A"/>
    <w:rsid w:val="67B57E60"/>
    <w:rsid w:val="67CF6B2B"/>
    <w:rsid w:val="67D56CA9"/>
    <w:rsid w:val="67E279CC"/>
    <w:rsid w:val="681553BD"/>
    <w:rsid w:val="684A06EF"/>
    <w:rsid w:val="6855218E"/>
    <w:rsid w:val="68573DFC"/>
    <w:rsid w:val="68677A74"/>
    <w:rsid w:val="6872413A"/>
    <w:rsid w:val="68830158"/>
    <w:rsid w:val="689B4BD4"/>
    <w:rsid w:val="68CE2687"/>
    <w:rsid w:val="68F169A6"/>
    <w:rsid w:val="69260C07"/>
    <w:rsid w:val="693C5CDA"/>
    <w:rsid w:val="69816D37"/>
    <w:rsid w:val="69952CC9"/>
    <w:rsid w:val="69972554"/>
    <w:rsid w:val="69A249E2"/>
    <w:rsid w:val="69CF428F"/>
    <w:rsid w:val="6A1C26BC"/>
    <w:rsid w:val="6A380D14"/>
    <w:rsid w:val="6A9D5624"/>
    <w:rsid w:val="6ABF691B"/>
    <w:rsid w:val="6AC02F5A"/>
    <w:rsid w:val="6AE22F7C"/>
    <w:rsid w:val="6AF03BD2"/>
    <w:rsid w:val="6B635B83"/>
    <w:rsid w:val="6B6C61F4"/>
    <w:rsid w:val="6BBE5006"/>
    <w:rsid w:val="6BF24B8B"/>
    <w:rsid w:val="6C600DCD"/>
    <w:rsid w:val="6CDD6566"/>
    <w:rsid w:val="6CF1569A"/>
    <w:rsid w:val="6CF31C41"/>
    <w:rsid w:val="6D334E73"/>
    <w:rsid w:val="6D4153AF"/>
    <w:rsid w:val="6D4C06FC"/>
    <w:rsid w:val="6D637749"/>
    <w:rsid w:val="6D672126"/>
    <w:rsid w:val="6D7D014A"/>
    <w:rsid w:val="6D84255F"/>
    <w:rsid w:val="6DA60FFB"/>
    <w:rsid w:val="6E0800CD"/>
    <w:rsid w:val="6E2832D4"/>
    <w:rsid w:val="6E497676"/>
    <w:rsid w:val="6E5F5F9E"/>
    <w:rsid w:val="6E9E2909"/>
    <w:rsid w:val="6E9F5D89"/>
    <w:rsid w:val="6EAE5398"/>
    <w:rsid w:val="6EBD08DE"/>
    <w:rsid w:val="6EDF6229"/>
    <w:rsid w:val="6F2B3801"/>
    <w:rsid w:val="6F4E6295"/>
    <w:rsid w:val="6F5D6E94"/>
    <w:rsid w:val="6F691B9F"/>
    <w:rsid w:val="6FC54149"/>
    <w:rsid w:val="6FCC4934"/>
    <w:rsid w:val="6FEC725A"/>
    <w:rsid w:val="701B2818"/>
    <w:rsid w:val="70232D66"/>
    <w:rsid w:val="705904A6"/>
    <w:rsid w:val="70793FDB"/>
    <w:rsid w:val="7084571A"/>
    <w:rsid w:val="70AD5610"/>
    <w:rsid w:val="70AF6A9E"/>
    <w:rsid w:val="70BF0DE4"/>
    <w:rsid w:val="70D30A89"/>
    <w:rsid w:val="70F55814"/>
    <w:rsid w:val="710170E4"/>
    <w:rsid w:val="710A0073"/>
    <w:rsid w:val="71494332"/>
    <w:rsid w:val="715003D7"/>
    <w:rsid w:val="716E2002"/>
    <w:rsid w:val="71C95A8B"/>
    <w:rsid w:val="71CB0705"/>
    <w:rsid w:val="72180BD1"/>
    <w:rsid w:val="721E40E9"/>
    <w:rsid w:val="72285D77"/>
    <w:rsid w:val="72463B5F"/>
    <w:rsid w:val="727104FE"/>
    <w:rsid w:val="729E3BA4"/>
    <w:rsid w:val="72D028FB"/>
    <w:rsid w:val="72E3272A"/>
    <w:rsid w:val="72E42FA6"/>
    <w:rsid w:val="72E62833"/>
    <w:rsid w:val="731850F6"/>
    <w:rsid w:val="73222E9A"/>
    <w:rsid w:val="732237DE"/>
    <w:rsid w:val="732D11E7"/>
    <w:rsid w:val="73394796"/>
    <w:rsid w:val="734207FF"/>
    <w:rsid w:val="734D1E61"/>
    <w:rsid w:val="739B654E"/>
    <w:rsid w:val="739F61B1"/>
    <w:rsid w:val="73A2256C"/>
    <w:rsid w:val="73CD1019"/>
    <w:rsid w:val="73D00500"/>
    <w:rsid w:val="73D85050"/>
    <w:rsid w:val="73DC77AE"/>
    <w:rsid w:val="73F62AE6"/>
    <w:rsid w:val="74690055"/>
    <w:rsid w:val="746906DB"/>
    <w:rsid w:val="748D7B02"/>
    <w:rsid w:val="74BF05BD"/>
    <w:rsid w:val="74CF4461"/>
    <w:rsid w:val="74F845F8"/>
    <w:rsid w:val="75197968"/>
    <w:rsid w:val="754B610C"/>
    <w:rsid w:val="75515023"/>
    <w:rsid w:val="75812191"/>
    <w:rsid w:val="759F72A2"/>
    <w:rsid w:val="75AA4EA2"/>
    <w:rsid w:val="75AB0887"/>
    <w:rsid w:val="75DB3655"/>
    <w:rsid w:val="75F304CB"/>
    <w:rsid w:val="75F95F0D"/>
    <w:rsid w:val="760202E5"/>
    <w:rsid w:val="763C35C2"/>
    <w:rsid w:val="767C386A"/>
    <w:rsid w:val="767D1160"/>
    <w:rsid w:val="769046C5"/>
    <w:rsid w:val="76953A20"/>
    <w:rsid w:val="76E464B8"/>
    <w:rsid w:val="76EB4984"/>
    <w:rsid w:val="77185812"/>
    <w:rsid w:val="774963F1"/>
    <w:rsid w:val="77524B07"/>
    <w:rsid w:val="779A19EA"/>
    <w:rsid w:val="779F63FD"/>
    <w:rsid w:val="77B56960"/>
    <w:rsid w:val="77C54301"/>
    <w:rsid w:val="77C75A49"/>
    <w:rsid w:val="77CA3660"/>
    <w:rsid w:val="78037E2D"/>
    <w:rsid w:val="783E23C5"/>
    <w:rsid w:val="78454659"/>
    <w:rsid w:val="7851575E"/>
    <w:rsid w:val="78745D47"/>
    <w:rsid w:val="788029FF"/>
    <w:rsid w:val="78B14F62"/>
    <w:rsid w:val="78D7470F"/>
    <w:rsid w:val="78ED3114"/>
    <w:rsid w:val="792220BA"/>
    <w:rsid w:val="793034ED"/>
    <w:rsid w:val="794721FE"/>
    <w:rsid w:val="795B71C9"/>
    <w:rsid w:val="798239D9"/>
    <w:rsid w:val="799A7AB7"/>
    <w:rsid w:val="79B027A1"/>
    <w:rsid w:val="79CC6867"/>
    <w:rsid w:val="79D87DFE"/>
    <w:rsid w:val="79EB6904"/>
    <w:rsid w:val="79F60B13"/>
    <w:rsid w:val="79FD07DC"/>
    <w:rsid w:val="7A190AA3"/>
    <w:rsid w:val="7A1F676D"/>
    <w:rsid w:val="7A217BDC"/>
    <w:rsid w:val="7A524A71"/>
    <w:rsid w:val="7A550DA7"/>
    <w:rsid w:val="7AC873D1"/>
    <w:rsid w:val="7AE74172"/>
    <w:rsid w:val="7B162B60"/>
    <w:rsid w:val="7B25687D"/>
    <w:rsid w:val="7B3B657D"/>
    <w:rsid w:val="7B496EEB"/>
    <w:rsid w:val="7B4F3B11"/>
    <w:rsid w:val="7B647E50"/>
    <w:rsid w:val="7B69024E"/>
    <w:rsid w:val="7BB902BE"/>
    <w:rsid w:val="7BFD7B20"/>
    <w:rsid w:val="7C113258"/>
    <w:rsid w:val="7C375F11"/>
    <w:rsid w:val="7C5E435E"/>
    <w:rsid w:val="7C640B55"/>
    <w:rsid w:val="7C683151"/>
    <w:rsid w:val="7C7E4BB3"/>
    <w:rsid w:val="7CC11050"/>
    <w:rsid w:val="7CE310C1"/>
    <w:rsid w:val="7CEA5CD2"/>
    <w:rsid w:val="7CEE7EAE"/>
    <w:rsid w:val="7CF250E3"/>
    <w:rsid w:val="7D0B451D"/>
    <w:rsid w:val="7D1022E0"/>
    <w:rsid w:val="7D637912"/>
    <w:rsid w:val="7D722E50"/>
    <w:rsid w:val="7D7A4BFA"/>
    <w:rsid w:val="7DA139A2"/>
    <w:rsid w:val="7E3744F7"/>
    <w:rsid w:val="7E42208C"/>
    <w:rsid w:val="7E6C54EA"/>
    <w:rsid w:val="7E7F705A"/>
    <w:rsid w:val="7E85337F"/>
    <w:rsid w:val="7EA62FB8"/>
    <w:rsid w:val="7ECD27C2"/>
    <w:rsid w:val="7F1527ED"/>
    <w:rsid w:val="7F1E1233"/>
    <w:rsid w:val="7F206C12"/>
    <w:rsid w:val="7F3C4003"/>
    <w:rsid w:val="7F5008F6"/>
    <w:rsid w:val="7F514873"/>
    <w:rsid w:val="7F54325E"/>
    <w:rsid w:val="7F6D0DC3"/>
    <w:rsid w:val="7F7612BF"/>
    <w:rsid w:val="7F8D6B5B"/>
    <w:rsid w:val="7F937DCA"/>
    <w:rsid w:val="7FC302D2"/>
    <w:rsid w:val="7FD16760"/>
    <w:rsid w:val="7FE4534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semiHidden="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next w:val="1"/>
    <w:qFormat/>
    <w:uiPriority w:val="0"/>
    <w:pPr>
      <w:widowControl w:val="0"/>
      <w:adjustRightInd w:val="0"/>
      <w:spacing w:before="320" w:line="300" w:lineRule="auto"/>
      <w:jc w:val="both"/>
      <w:outlineLvl w:val="0"/>
    </w:pPr>
    <w:rPr>
      <w:rFonts w:ascii="Times New Roman" w:hAnsi="Times New Roman" w:eastAsia="黑体" w:cs="Times New Roman"/>
      <w:color w:val="000000"/>
      <w:kern w:val="44"/>
      <w:sz w:val="32"/>
      <w:szCs w:val="44"/>
      <w:lang w:bidi="ar-SA"/>
    </w:rPr>
  </w:style>
  <w:style w:type="paragraph" w:styleId="3">
    <w:name w:val="heading 2"/>
    <w:next w:val="1"/>
    <w:unhideWhenUsed/>
    <w:qFormat/>
    <w:uiPriority w:val="0"/>
    <w:pPr>
      <w:widowControl w:val="0"/>
      <w:adjustRightInd w:val="0"/>
      <w:spacing w:before="280" w:line="300" w:lineRule="auto"/>
      <w:jc w:val="both"/>
      <w:outlineLvl w:val="1"/>
    </w:pPr>
    <w:rPr>
      <w:rFonts w:ascii="Times New Roman" w:hAnsi="Times New Roman" w:eastAsia="黑体" w:cs="Times New Roman"/>
      <w:kern w:val="2"/>
      <w:sz w:val="30"/>
      <w:szCs w:val="32"/>
      <w:lang w:bidi="ar-SA"/>
    </w:rPr>
  </w:style>
  <w:style w:type="paragraph" w:styleId="4">
    <w:name w:val="heading 3"/>
    <w:next w:val="1"/>
    <w:unhideWhenUsed/>
    <w:qFormat/>
    <w:uiPriority w:val="0"/>
    <w:pPr>
      <w:keepNext/>
      <w:keepLines/>
      <w:widowControl w:val="0"/>
      <w:adjustRightInd w:val="0"/>
      <w:spacing w:before="240" w:line="300" w:lineRule="auto"/>
      <w:jc w:val="both"/>
      <w:outlineLvl w:val="2"/>
    </w:pPr>
    <w:rPr>
      <w:rFonts w:ascii="Times New Roman" w:hAnsi="Times New Roman" w:eastAsia="黑体" w:cs="Times New Roman"/>
      <w:kern w:val="2"/>
      <w:sz w:val="30"/>
      <w:szCs w:val="24"/>
      <w:lang w:bidi="ar-SA"/>
    </w:rPr>
  </w:style>
  <w:style w:type="paragraph" w:styleId="5">
    <w:name w:val="heading 4"/>
    <w:next w:val="1"/>
    <w:unhideWhenUsed/>
    <w:qFormat/>
    <w:uiPriority w:val="0"/>
    <w:pPr>
      <w:keepNext/>
      <w:keepLines/>
      <w:widowControl w:val="0"/>
      <w:adjustRightInd w:val="0"/>
      <w:spacing w:before="200" w:line="300" w:lineRule="auto"/>
      <w:jc w:val="both"/>
      <w:outlineLvl w:val="3"/>
    </w:pPr>
    <w:rPr>
      <w:rFonts w:ascii="Times New Roman" w:hAnsi="Times New Roman" w:eastAsia="黑体" w:cs="Times New Roman"/>
      <w:bCs/>
      <w:kern w:val="2"/>
      <w:sz w:val="28"/>
      <w:szCs w:val="28"/>
      <w:lang w:bidi="ar-SA"/>
    </w:rPr>
  </w:style>
  <w:style w:type="paragraph" w:styleId="6">
    <w:name w:val="heading 5"/>
    <w:next w:val="1"/>
    <w:unhideWhenUsed/>
    <w:qFormat/>
    <w:uiPriority w:val="0"/>
    <w:pPr>
      <w:keepNext/>
      <w:keepLines/>
      <w:widowControl w:val="0"/>
      <w:adjustRightInd w:val="0"/>
      <w:spacing w:before="160" w:line="300" w:lineRule="auto"/>
      <w:jc w:val="both"/>
      <w:outlineLvl w:val="4"/>
    </w:pPr>
    <w:rPr>
      <w:rFonts w:ascii="Times New Roman" w:hAnsi="Times New Roman" w:eastAsia="黑体" w:cs="Times New Roman"/>
      <w:bCs/>
      <w:kern w:val="2"/>
      <w:sz w:val="28"/>
      <w:szCs w:val="28"/>
      <w:lang w:bidi="ar-SA"/>
    </w:rPr>
  </w:style>
  <w:style w:type="paragraph" w:styleId="7">
    <w:name w:val="heading 6"/>
    <w:next w:val="1"/>
    <w:semiHidden/>
    <w:unhideWhenUsed/>
    <w:qFormat/>
    <w:uiPriority w:val="0"/>
    <w:pPr>
      <w:keepNext/>
      <w:keepLines/>
      <w:widowControl w:val="0"/>
      <w:adjustRightInd w:val="0"/>
      <w:spacing w:before="120" w:line="300" w:lineRule="auto"/>
      <w:jc w:val="both"/>
      <w:outlineLvl w:val="5"/>
    </w:pPr>
    <w:rPr>
      <w:rFonts w:ascii="Times New Roman" w:hAnsi="Times New Roman" w:eastAsia="黑体" w:cs="Times New Roman"/>
      <w:bCs/>
      <w:kern w:val="2"/>
      <w:sz w:val="28"/>
      <w:szCs w:val="24"/>
      <w:lang w:bidi="ar-SA"/>
    </w:rPr>
  </w:style>
  <w:style w:type="paragraph" w:styleId="8">
    <w:name w:val="heading 7"/>
    <w:next w:val="1"/>
    <w:semiHidden/>
    <w:unhideWhenUsed/>
    <w:qFormat/>
    <w:uiPriority w:val="0"/>
    <w:pPr>
      <w:keepNext/>
      <w:keepLines/>
      <w:widowControl w:val="0"/>
      <w:adjustRightInd w:val="0"/>
      <w:spacing w:before="120" w:line="300" w:lineRule="auto"/>
      <w:jc w:val="both"/>
      <w:outlineLvl w:val="6"/>
    </w:pPr>
    <w:rPr>
      <w:rFonts w:ascii="Times New Roman" w:hAnsi="Times New Roman" w:eastAsia="黑体" w:cs="Times New Roman"/>
      <w:bCs/>
      <w:kern w:val="2"/>
      <w:sz w:val="24"/>
      <w:szCs w:val="24"/>
      <w:lang w:bidi="ar-SA"/>
    </w:rPr>
  </w:style>
  <w:style w:type="paragraph" w:styleId="9">
    <w:name w:val="heading 8"/>
    <w:next w:val="1"/>
    <w:semiHidden/>
    <w:unhideWhenUsed/>
    <w:qFormat/>
    <w:uiPriority w:val="0"/>
    <w:pPr>
      <w:keepNext/>
      <w:keepLines/>
      <w:widowControl w:val="0"/>
      <w:adjustRightInd w:val="0"/>
      <w:spacing w:before="120" w:line="300" w:lineRule="auto"/>
      <w:jc w:val="both"/>
      <w:outlineLvl w:val="7"/>
    </w:pPr>
    <w:rPr>
      <w:rFonts w:ascii="Times New Roman" w:hAnsi="Times New Roman" w:eastAsia="黑体" w:cs="Times New Roman"/>
      <w:kern w:val="2"/>
      <w:sz w:val="24"/>
      <w:szCs w:val="24"/>
      <w:lang w:bidi="ar-SA"/>
    </w:rPr>
  </w:style>
  <w:style w:type="paragraph" w:styleId="10">
    <w:name w:val="heading 9"/>
    <w:next w:val="1"/>
    <w:semiHidden/>
    <w:unhideWhenUsed/>
    <w:qFormat/>
    <w:uiPriority w:val="0"/>
    <w:pPr>
      <w:keepNext/>
      <w:keepLines/>
      <w:widowControl w:val="0"/>
      <w:adjustRightInd w:val="0"/>
      <w:spacing w:before="120" w:line="300" w:lineRule="auto"/>
      <w:jc w:val="both"/>
      <w:outlineLvl w:val="8"/>
    </w:pPr>
    <w:rPr>
      <w:rFonts w:ascii="Times New Roman" w:hAnsi="Times New Roman" w:eastAsia="黑体" w:cs="Times New Roman"/>
      <w:kern w:val="2"/>
      <w:sz w:val="21"/>
      <w:szCs w:val="21"/>
      <w:lang w:bidi="ar-SA"/>
    </w:rPr>
  </w:style>
  <w:style w:type="character" w:default="1" w:styleId="18">
    <w:name w:val="Default Paragraph Font"/>
    <w:semiHidden/>
    <w:qFormat/>
    <w:uiPriority w:val="0"/>
  </w:style>
  <w:style w:type="table" w:default="1" w:styleId="17">
    <w:name w:val="Normal Table"/>
    <w:semiHidden/>
    <w:qFormat/>
    <w:uiPriority w:val="0"/>
    <w:tblPr>
      <w:tblCellMar>
        <w:top w:w="0" w:type="dxa"/>
        <w:left w:w="108" w:type="dxa"/>
        <w:bottom w:w="0" w:type="dxa"/>
        <w:right w:w="108" w:type="dxa"/>
      </w:tblCellMar>
    </w:tblPr>
  </w:style>
  <w:style w:type="paragraph" w:styleId="11">
    <w:name w:val="Body Text"/>
    <w:qFormat/>
    <w:uiPriority w:val="1"/>
    <w:pPr>
      <w:widowControl w:val="0"/>
      <w:adjustRightInd w:val="0"/>
      <w:spacing w:before="100" w:after="100" w:afterLines="0" w:afterAutospacing="0" w:line="300" w:lineRule="auto"/>
      <w:ind w:firstLine="1044" w:firstLineChars="200"/>
      <w:jc w:val="both"/>
    </w:pPr>
    <w:rPr>
      <w:rFonts w:ascii="Times New Roman" w:hAnsi="Times New Roman" w:eastAsia="宋体" w:cs="Times New Roman"/>
      <w:kern w:val="2"/>
      <w:sz w:val="24"/>
      <w:szCs w:val="24"/>
      <w:lang w:bidi="ar-SA"/>
    </w:rPr>
  </w:style>
  <w:style w:type="paragraph" w:styleId="12">
    <w:name w:val="footer"/>
    <w:basedOn w:val="1"/>
    <w:uiPriority w:val="0"/>
    <w:pPr>
      <w:tabs>
        <w:tab w:val="center" w:pos="4153"/>
        <w:tab w:val="right" w:pos="8306"/>
      </w:tabs>
      <w:snapToGrid w:val="0"/>
      <w:jc w:val="left"/>
    </w:pPr>
    <w:rPr>
      <w:sz w:val="18"/>
    </w:rPr>
  </w:style>
  <w:style w:type="paragraph" w:styleId="1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4">
    <w:name w:val="Subtitle"/>
    <w:qFormat/>
    <w:uiPriority w:val="0"/>
    <w:pPr>
      <w:widowControl w:val="0"/>
      <w:adjustRightInd w:val="0"/>
      <w:spacing w:before="100" w:after="100" w:line="240" w:lineRule="auto"/>
      <w:jc w:val="center"/>
      <w:outlineLvl w:val="9"/>
    </w:pPr>
    <w:rPr>
      <w:rFonts w:ascii="Times New Roman" w:hAnsi="Times New Roman" w:eastAsia="黑体" w:cs="Times New Roman"/>
      <w:kern w:val="28"/>
      <w:sz w:val="32"/>
      <w:szCs w:val="24"/>
      <w:lang w:bidi="ar-SA"/>
    </w:rPr>
  </w:style>
  <w:style w:type="paragraph" w:styleId="15">
    <w:name w:val="Normal (Web)"/>
    <w:basedOn w:val="1"/>
    <w:uiPriority w:val="0"/>
    <w:pPr>
      <w:spacing w:before="0" w:beforeAutospacing="1" w:after="0" w:afterAutospacing="1"/>
      <w:ind w:left="0" w:right="0"/>
      <w:jc w:val="left"/>
    </w:pPr>
    <w:rPr>
      <w:kern w:val="0"/>
      <w:sz w:val="24"/>
      <w:lang w:val="en-US" w:eastAsia="zh-CN" w:bidi="ar"/>
    </w:rPr>
  </w:style>
  <w:style w:type="paragraph" w:styleId="16">
    <w:name w:val="Title"/>
    <w:qFormat/>
    <w:uiPriority w:val="0"/>
    <w:pPr>
      <w:widowControl w:val="0"/>
      <w:adjustRightInd w:val="0"/>
      <w:spacing w:before="100" w:beforeAutospacing="0" w:after="100" w:afterAutospacing="0" w:line="240" w:lineRule="auto"/>
      <w:jc w:val="center"/>
      <w:outlineLvl w:val="9"/>
    </w:pPr>
    <w:rPr>
      <w:rFonts w:ascii="Times New Roman" w:hAnsi="Times New Roman" w:eastAsia="黑体" w:cs="Times New Roman"/>
      <w:kern w:val="2"/>
      <w:sz w:val="36"/>
      <w:szCs w:val="24"/>
      <w:lang w:bidi="ar-SA"/>
    </w:rPr>
  </w:style>
  <w:style w:type="paragraph" w:customStyle="1" w:styleId="19">
    <w:name w:val="题注1"/>
    <w:next w:val="1"/>
    <w:uiPriority w:val="0"/>
    <w:pPr>
      <w:widowControl w:val="0"/>
      <w:adjustRightInd w:val="0"/>
      <w:spacing w:before="240" w:after="120" w:line="288" w:lineRule="auto"/>
      <w:jc w:val="center"/>
    </w:pPr>
    <w:rPr>
      <w:rFonts w:ascii="Times New Roman" w:hAnsi="Times New Roman" w:eastAsia="宋体" w:cs="宋体"/>
      <w:kern w:val="2"/>
      <w:sz w:val="24"/>
      <w:szCs w:val="22"/>
      <w:lang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3361</Words>
  <Characters>3860</Characters>
  <Lines>1</Lines>
  <Paragraphs>1</Paragraphs>
  <TotalTime>21</TotalTime>
  <ScaleCrop>false</ScaleCrop>
  <LinksUpToDate>false</LinksUpToDate>
  <CharactersWithSpaces>4081</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2025-07-24T11:49:00Z</dcterms:created>
  <dc:creator>Alice</dc:creator>
  <cp:lastModifiedBy>Alice</cp:lastModifiedBy>
  <dcterms:modified xsi:type="dcterms:W3CDTF">2025-07-24T14:14:14Z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133FB2731EDA4F8F8C39C4C89CE81719_13</vt:lpwstr>
  </property>
  <property fmtid="{D5CDD505-2E9C-101B-9397-08002B2CF9AE}" pid="4" name="KSOTemplateDocerSaveRecord">
    <vt:lpwstr>eyJoZGlkIjoiNzlmYzVmYWI0MTMwNGYyMzAwMDg1ZmUyMmUxOTQyODciLCJ1c2VySWQiOiI0MDQxMzI5MzAifQ==</vt:lpwstr>
  </property>
</Properties>
</file>